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E5AFA" w14:textId="77777777" w:rsidR="007F3A7E" w:rsidRDefault="007F3A7E" w:rsidP="007F3A7E">
      <w:pPr>
        <w:spacing w:line="480" w:lineRule="auto"/>
        <w:jc w:val="center"/>
        <w:rPr>
          <w:lang w:val="en-CA"/>
        </w:rPr>
      </w:pPr>
    </w:p>
    <w:p w14:paraId="4474E4EA" w14:textId="77777777" w:rsidR="007F3A7E" w:rsidRDefault="007F3A7E" w:rsidP="007F3A7E">
      <w:pPr>
        <w:spacing w:line="480" w:lineRule="auto"/>
        <w:jc w:val="center"/>
        <w:rPr>
          <w:lang w:val="en-CA"/>
        </w:rPr>
      </w:pPr>
    </w:p>
    <w:p w14:paraId="537EB269" w14:textId="77777777" w:rsidR="007F3A7E" w:rsidRDefault="007F3A7E" w:rsidP="007F3A7E">
      <w:pPr>
        <w:spacing w:line="480" w:lineRule="auto"/>
        <w:jc w:val="center"/>
        <w:rPr>
          <w:i/>
          <w:lang w:val="en-CA"/>
        </w:rPr>
      </w:pPr>
      <w:r>
        <w:rPr>
          <w:lang w:val="en-CA"/>
        </w:rPr>
        <w:t xml:space="preserve">“Canadian House Keeping” in </w:t>
      </w:r>
      <w:r>
        <w:rPr>
          <w:i/>
          <w:lang w:val="en-CA"/>
        </w:rPr>
        <w:t>Canada’s History</w:t>
      </w:r>
    </w:p>
    <w:p w14:paraId="3E8F48FA" w14:textId="77777777" w:rsidR="007F3A7E" w:rsidRDefault="007F3A7E" w:rsidP="007F3A7E">
      <w:pPr>
        <w:spacing w:line="480" w:lineRule="auto"/>
        <w:jc w:val="center"/>
        <w:rPr>
          <w:lang w:val="en-CA"/>
        </w:rPr>
      </w:pPr>
      <w:r>
        <w:rPr>
          <w:lang w:val="en-CA"/>
        </w:rPr>
        <w:t xml:space="preserve">Excerpts from </w:t>
      </w:r>
      <w:r>
        <w:rPr>
          <w:i/>
          <w:lang w:val="en-CA"/>
        </w:rPr>
        <w:t xml:space="preserve">The Female Emigrant’s Guide </w:t>
      </w:r>
      <w:r>
        <w:rPr>
          <w:lang w:val="en-CA"/>
        </w:rPr>
        <w:t>by Catherine Parr Traill</w:t>
      </w:r>
    </w:p>
    <w:p w14:paraId="19EF68B4" w14:textId="77777777" w:rsidR="007F3A7E" w:rsidRDefault="007F3A7E" w:rsidP="007F3A7E">
      <w:pPr>
        <w:spacing w:line="480" w:lineRule="auto"/>
        <w:jc w:val="center"/>
        <w:rPr>
          <w:lang w:val="en-CA"/>
        </w:rPr>
      </w:pPr>
    </w:p>
    <w:p w14:paraId="1090789E" w14:textId="77777777" w:rsidR="007F3A7E" w:rsidRDefault="007F3A7E" w:rsidP="007F3A7E">
      <w:pPr>
        <w:spacing w:line="480" w:lineRule="auto"/>
        <w:jc w:val="center"/>
        <w:rPr>
          <w:lang w:val="en-CA"/>
        </w:rPr>
      </w:pPr>
    </w:p>
    <w:p w14:paraId="116FF3DB" w14:textId="77777777" w:rsidR="007F3A7E" w:rsidRDefault="007F3A7E" w:rsidP="007F3A7E">
      <w:pPr>
        <w:spacing w:line="480" w:lineRule="auto"/>
        <w:jc w:val="center"/>
        <w:rPr>
          <w:lang w:val="en-CA"/>
        </w:rPr>
      </w:pPr>
    </w:p>
    <w:p w14:paraId="0EEAE3B7" w14:textId="77777777" w:rsidR="007F3A7E" w:rsidRDefault="007F3A7E" w:rsidP="007F3A7E">
      <w:pPr>
        <w:spacing w:line="480" w:lineRule="auto"/>
        <w:jc w:val="center"/>
        <w:rPr>
          <w:lang w:val="en-CA"/>
        </w:rPr>
      </w:pPr>
    </w:p>
    <w:p w14:paraId="642E9E13" w14:textId="77777777" w:rsidR="007F3A7E" w:rsidRDefault="007F3A7E" w:rsidP="007F3A7E">
      <w:pPr>
        <w:spacing w:line="480" w:lineRule="auto"/>
        <w:jc w:val="center"/>
        <w:rPr>
          <w:lang w:val="en-CA"/>
        </w:rPr>
      </w:pPr>
    </w:p>
    <w:p w14:paraId="6B731A63" w14:textId="77777777" w:rsidR="007F3A7E" w:rsidRDefault="007F3A7E" w:rsidP="007F3A7E">
      <w:pPr>
        <w:spacing w:line="480" w:lineRule="auto"/>
        <w:jc w:val="center"/>
        <w:rPr>
          <w:lang w:val="en-CA"/>
        </w:rPr>
      </w:pPr>
    </w:p>
    <w:p w14:paraId="39C83FDA" w14:textId="77777777" w:rsidR="007F3A7E" w:rsidRDefault="007F3A7E" w:rsidP="007F3A7E">
      <w:pPr>
        <w:spacing w:line="480" w:lineRule="auto"/>
        <w:jc w:val="center"/>
        <w:rPr>
          <w:lang w:val="en-CA"/>
        </w:rPr>
      </w:pPr>
      <w:r>
        <w:rPr>
          <w:lang w:val="en-CA"/>
        </w:rPr>
        <w:t>Josslyn Ryan</w:t>
      </w:r>
    </w:p>
    <w:p w14:paraId="524659A6" w14:textId="77777777" w:rsidR="007F3A7E" w:rsidRDefault="007F3A7E" w:rsidP="007F3A7E">
      <w:pPr>
        <w:spacing w:line="480" w:lineRule="auto"/>
        <w:jc w:val="center"/>
        <w:rPr>
          <w:lang w:val="en-CA"/>
        </w:rPr>
      </w:pPr>
      <w:r>
        <w:rPr>
          <w:lang w:val="en-CA"/>
        </w:rPr>
        <w:t>History 1120</w:t>
      </w:r>
    </w:p>
    <w:p w14:paraId="1864A414" w14:textId="73C754AF" w:rsidR="00960FC2" w:rsidRDefault="00960FC2" w:rsidP="007F3A7E">
      <w:pPr>
        <w:spacing w:line="480" w:lineRule="auto"/>
        <w:jc w:val="center"/>
        <w:rPr>
          <w:lang w:val="en-CA"/>
        </w:rPr>
      </w:pPr>
      <w:r>
        <w:rPr>
          <w:lang w:val="en-CA"/>
        </w:rPr>
        <w:t>Tracy Penny Light</w:t>
      </w:r>
    </w:p>
    <w:p w14:paraId="6FEA0BC5" w14:textId="77777777" w:rsidR="002E7082" w:rsidRDefault="007F3A7E" w:rsidP="007F3A7E">
      <w:pPr>
        <w:spacing w:line="480" w:lineRule="auto"/>
        <w:jc w:val="center"/>
        <w:rPr>
          <w:lang w:val="en-CA"/>
        </w:rPr>
      </w:pPr>
      <w:r>
        <w:rPr>
          <w:lang w:val="en-CA"/>
        </w:rPr>
        <w:t>October 10, 2018</w:t>
      </w:r>
    </w:p>
    <w:p w14:paraId="00D275F0" w14:textId="77777777" w:rsidR="002E7082" w:rsidRDefault="002E7082">
      <w:pPr>
        <w:rPr>
          <w:lang w:val="en-CA"/>
        </w:rPr>
      </w:pPr>
      <w:r>
        <w:rPr>
          <w:lang w:val="en-CA"/>
        </w:rPr>
        <w:br w:type="page"/>
      </w:r>
    </w:p>
    <w:p w14:paraId="250324EC" w14:textId="27F81884" w:rsidR="00BB68AC" w:rsidRDefault="00BE7A54" w:rsidP="00BE7A54">
      <w:pPr>
        <w:spacing w:line="480" w:lineRule="auto"/>
        <w:ind w:firstLine="720"/>
        <w:rPr>
          <w:lang w:val="en-CA"/>
        </w:rPr>
      </w:pPr>
      <w:r>
        <w:rPr>
          <w:lang w:val="en-CA"/>
        </w:rPr>
        <w:lastRenderedPageBreak/>
        <w:t>Catherine Parr Traill emigrated from England</w:t>
      </w:r>
      <w:r w:rsidR="0028368D">
        <w:rPr>
          <w:lang w:val="en-CA"/>
        </w:rPr>
        <w:t xml:space="preserve"> with her sister, Susan Moodie, in 1832.</w:t>
      </w:r>
      <w:r w:rsidR="00977A34">
        <w:rPr>
          <w:rStyle w:val="FootnoteReference"/>
          <w:lang w:val="en-CA"/>
        </w:rPr>
        <w:footnoteReference w:id="1"/>
      </w:r>
      <w:r w:rsidR="0028368D">
        <w:rPr>
          <w:lang w:val="en-CA"/>
        </w:rPr>
        <w:t xml:space="preserve"> Upon doing so, she was forced to learn the new ways of life in </w:t>
      </w:r>
      <w:r w:rsidR="00977A34">
        <w:rPr>
          <w:lang w:val="en-CA"/>
        </w:rPr>
        <w:t xml:space="preserve">Canada, known as </w:t>
      </w:r>
      <w:r w:rsidR="0028368D">
        <w:rPr>
          <w:lang w:val="en-CA"/>
        </w:rPr>
        <w:t xml:space="preserve">the New World </w:t>
      </w:r>
      <w:r w:rsidR="00977A34">
        <w:rPr>
          <w:lang w:val="en-CA"/>
        </w:rPr>
        <w:t xml:space="preserve">at the time, </w:t>
      </w:r>
      <w:r w:rsidR="0028368D">
        <w:rPr>
          <w:lang w:val="en-CA"/>
        </w:rPr>
        <w:t>by trial and error since there were no guidelines for the duties of a settler’s wife.</w:t>
      </w:r>
      <w:r w:rsidR="00977A34">
        <w:rPr>
          <w:rStyle w:val="FootnoteReference"/>
          <w:lang w:val="en-CA"/>
        </w:rPr>
        <w:footnoteReference w:id="2"/>
      </w:r>
      <w:r w:rsidR="0028368D">
        <w:rPr>
          <w:lang w:val="en-CA"/>
        </w:rPr>
        <w:t xml:space="preserve"> </w:t>
      </w:r>
      <w:r w:rsidR="00977A34">
        <w:rPr>
          <w:lang w:val="en-CA"/>
        </w:rPr>
        <w:t xml:space="preserve">Parr Traill, having lived in Canada for twenty-two years by the time her book </w:t>
      </w:r>
      <w:r w:rsidR="00977A34">
        <w:rPr>
          <w:i/>
          <w:lang w:val="en-CA"/>
        </w:rPr>
        <w:t>The Female Emigrant</w:t>
      </w:r>
      <w:r w:rsidR="00BB68AC">
        <w:rPr>
          <w:i/>
          <w:lang w:val="en-CA"/>
        </w:rPr>
        <w:t>’</w:t>
      </w:r>
      <w:r w:rsidR="00977A34">
        <w:rPr>
          <w:i/>
          <w:lang w:val="en-CA"/>
        </w:rPr>
        <w:t>s Guide</w:t>
      </w:r>
      <w:r w:rsidR="00977A34">
        <w:rPr>
          <w:lang w:val="en-CA"/>
        </w:rPr>
        <w:t xml:space="preserve"> was published, decided to compose a guide for wives and daughters whose husbands and fathers were new sett</w:t>
      </w:r>
      <w:r w:rsidR="00712E2C">
        <w:rPr>
          <w:lang w:val="en-CA"/>
        </w:rPr>
        <w:t xml:space="preserve">lers to the land, as she </w:t>
      </w:r>
      <w:r w:rsidR="0012308B">
        <w:rPr>
          <w:lang w:val="en-CA"/>
        </w:rPr>
        <w:t xml:space="preserve">too </w:t>
      </w:r>
      <w:r w:rsidR="00712E2C">
        <w:rPr>
          <w:lang w:val="en-CA"/>
        </w:rPr>
        <w:t>experienced overcoming hardships with no instructions</w:t>
      </w:r>
      <w:r w:rsidR="006A53CC">
        <w:rPr>
          <w:lang w:val="en-CA"/>
        </w:rPr>
        <w:t>.</w:t>
      </w:r>
      <w:r w:rsidR="006A53CC">
        <w:rPr>
          <w:rStyle w:val="FootnoteReference"/>
          <w:lang w:val="en-CA"/>
        </w:rPr>
        <w:footnoteReference w:id="3"/>
      </w:r>
      <w:r w:rsidR="006A53CC">
        <w:rPr>
          <w:lang w:val="en-CA"/>
        </w:rPr>
        <w:t xml:space="preserve"> This book of guidelines entailed recipes (using native food sources), how to properly furnish a home, the significance of knitting, </w:t>
      </w:r>
      <w:r w:rsidR="00F64BC8">
        <w:rPr>
          <w:lang w:val="en-CA"/>
        </w:rPr>
        <w:t xml:space="preserve">and </w:t>
      </w:r>
      <w:r w:rsidR="006A53CC">
        <w:rPr>
          <w:lang w:val="en-CA"/>
        </w:rPr>
        <w:t xml:space="preserve">many other useful </w:t>
      </w:r>
      <w:r w:rsidR="0012308B">
        <w:rPr>
          <w:lang w:val="en-CA"/>
        </w:rPr>
        <w:t>tactics</w:t>
      </w:r>
      <w:r w:rsidR="006A53CC">
        <w:rPr>
          <w:lang w:val="en-CA"/>
        </w:rPr>
        <w:t xml:space="preserve"> and advice to succeed as an emigrant </w:t>
      </w:r>
      <w:r w:rsidR="00977CCA">
        <w:rPr>
          <w:lang w:val="en-CA"/>
        </w:rPr>
        <w:t>woman</w:t>
      </w:r>
      <w:r w:rsidR="006A53CC">
        <w:rPr>
          <w:lang w:val="en-CA"/>
        </w:rPr>
        <w:t xml:space="preserve"> in Canada. Through the</w:t>
      </w:r>
      <w:r w:rsidR="00EE50DA">
        <w:rPr>
          <w:lang w:val="en-CA"/>
        </w:rPr>
        <w:t>se</w:t>
      </w:r>
      <w:r w:rsidR="006A53CC">
        <w:rPr>
          <w:lang w:val="en-CA"/>
        </w:rPr>
        <w:t xml:space="preserve"> excerpts </w:t>
      </w:r>
      <w:r w:rsidR="0079091F">
        <w:rPr>
          <w:lang w:val="en-CA"/>
        </w:rPr>
        <w:t xml:space="preserve">of Parr Traill’s </w:t>
      </w:r>
      <w:r w:rsidR="0079091F">
        <w:rPr>
          <w:i/>
          <w:lang w:val="en-CA"/>
        </w:rPr>
        <w:t>The Female Emigrant</w:t>
      </w:r>
      <w:r w:rsidR="00BB68AC">
        <w:rPr>
          <w:i/>
          <w:lang w:val="en-CA"/>
        </w:rPr>
        <w:t>’</w:t>
      </w:r>
      <w:r w:rsidR="0079091F">
        <w:rPr>
          <w:i/>
          <w:lang w:val="en-CA"/>
        </w:rPr>
        <w:t>s Guide</w:t>
      </w:r>
      <w:r w:rsidR="0079091F">
        <w:rPr>
          <w:lang w:val="en-CA"/>
        </w:rPr>
        <w:t xml:space="preserve"> </w:t>
      </w:r>
      <w:r w:rsidR="006A53CC">
        <w:rPr>
          <w:lang w:val="en-CA"/>
        </w:rPr>
        <w:t xml:space="preserve">within the periodical, </w:t>
      </w:r>
      <w:r w:rsidR="006A53CC">
        <w:rPr>
          <w:i/>
          <w:lang w:val="en-CA"/>
        </w:rPr>
        <w:t>Canada’s History</w:t>
      </w:r>
      <w:r w:rsidR="006A53CC">
        <w:rPr>
          <w:lang w:val="en-CA"/>
        </w:rPr>
        <w:t xml:space="preserve">, we can </w:t>
      </w:r>
      <w:r w:rsidR="0079091F">
        <w:rPr>
          <w:lang w:val="en-CA"/>
        </w:rPr>
        <w:t>understand the difficulties women must have faced</w:t>
      </w:r>
      <w:r w:rsidR="00BB68AC">
        <w:rPr>
          <w:lang w:val="en-CA"/>
        </w:rPr>
        <w:t xml:space="preserve">, </w:t>
      </w:r>
      <w:r w:rsidR="0079091F">
        <w:rPr>
          <w:lang w:val="en-CA"/>
        </w:rPr>
        <w:t xml:space="preserve">having the </w:t>
      </w:r>
      <w:r w:rsidR="00E34D93">
        <w:rPr>
          <w:lang w:val="en-CA"/>
        </w:rPr>
        <w:t xml:space="preserve">same </w:t>
      </w:r>
      <w:r w:rsidR="0079091F">
        <w:rPr>
          <w:lang w:val="en-CA"/>
        </w:rPr>
        <w:t>expectation</w:t>
      </w:r>
      <w:r w:rsidR="00E34D93">
        <w:rPr>
          <w:lang w:val="en-CA"/>
        </w:rPr>
        <w:t>s</w:t>
      </w:r>
      <w:r w:rsidR="0079091F">
        <w:rPr>
          <w:lang w:val="en-CA"/>
        </w:rPr>
        <w:t xml:space="preserve"> of keeping a home in a completely differe</w:t>
      </w:r>
      <w:r w:rsidR="00E34D93">
        <w:rPr>
          <w:lang w:val="en-CA"/>
        </w:rPr>
        <w:t xml:space="preserve">nt world than </w:t>
      </w:r>
      <w:r w:rsidR="00BB68AC">
        <w:rPr>
          <w:lang w:val="en-CA"/>
        </w:rPr>
        <w:t xml:space="preserve">what </w:t>
      </w:r>
      <w:r w:rsidR="00E34D93">
        <w:rPr>
          <w:lang w:val="en-CA"/>
        </w:rPr>
        <w:t>they were used to</w:t>
      </w:r>
      <w:r w:rsidR="00BB68AC">
        <w:rPr>
          <w:lang w:val="en-CA"/>
        </w:rPr>
        <w:t>; however, a</w:t>
      </w:r>
      <w:r w:rsidR="00E34D93">
        <w:rPr>
          <w:lang w:val="en-CA"/>
        </w:rPr>
        <w:t>mong these complicatio</w:t>
      </w:r>
      <w:r w:rsidR="00F64BC8">
        <w:rPr>
          <w:lang w:val="en-CA"/>
        </w:rPr>
        <w:t>ns, we can also dissect the joy</w:t>
      </w:r>
      <w:r w:rsidR="00E34D93">
        <w:rPr>
          <w:lang w:val="en-CA"/>
        </w:rPr>
        <w:t xml:space="preserve"> and hope that </w:t>
      </w:r>
      <w:r w:rsidR="0012308B">
        <w:rPr>
          <w:lang w:val="en-CA"/>
        </w:rPr>
        <w:t>could</w:t>
      </w:r>
      <w:r w:rsidR="00BB68AC">
        <w:rPr>
          <w:lang w:val="en-CA"/>
        </w:rPr>
        <w:t xml:space="preserve"> be found by following </w:t>
      </w:r>
      <w:r w:rsidR="00E34D93">
        <w:rPr>
          <w:lang w:val="en-CA"/>
        </w:rPr>
        <w:t>Parr Traill</w:t>
      </w:r>
      <w:r w:rsidR="00BB68AC">
        <w:rPr>
          <w:lang w:val="en-CA"/>
        </w:rPr>
        <w:t xml:space="preserve">’s advice, and a sense of security and safety in Canada that may not have been present in the emigrants original home. </w:t>
      </w:r>
      <w:r w:rsidR="00E34D93">
        <w:rPr>
          <w:lang w:val="en-CA"/>
        </w:rPr>
        <w:t xml:space="preserve"> </w:t>
      </w:r>
    </w:p>
    <w:p w14:paraId="04AC3613" w14:textId="77777777" w:rsidR="00977CCA" w:rsidRDefault="00E34D93" w:rsidP="00BE7A54">
      <w:pPr>
        <w:spacing w:line="480" w:lineRule="auto"/>
        <w:ind w:firstLine="720"/>
        <w:rPr>
          <w:lang w:val="en-CA"/>
        </w:rPr>
      </w:pPr>
      <w:r>
        <w:rPr>
          <w:lang w:val="en-CA"/>
        </w:rPr>
        <w:t xml:space="preserve"> </w:t>
      </w:r>
      <w:r w:rsidR="0079091F">
        <w:rPr>
          <w:lang w:val="en-CA"/>
        </w:rPr>
        <w:t xml:space="preserve"> </w:t>
      </w:r>
      <w:r w:rsidR="004E56FE">
        <w:rPr>
          <w:lang w:val="en-CA"/>
        </w:rPr>
        <w:t>Life in England</w:t>
      </w:r>
      <w:r w:rsidR="00664875">
        <w:rPr>
          <w:lang w:val="en-CA"/>
        </w:rPr>
        <w:t>, as well as other established and colonized countries at the time,</w:t>
      </w:r>
      <w:r w:rsidR="004E56FE">
        <w:rPr>
          <w:lang w:val="en-CA"/>
        </w:rPr>
        <w:t xml:space="preserve"> was significantly different than the settler’s life in Canada.</w:t>
      </w:r>
      <w:r w:rsidR="00664875">
        <w:rPr>
          <w:lang w:val="en-CA"/>
        </w:rPr>
        <w:t xml:space="preserve"> </w:t>
      </w:r>
      <w:r w:rsidR="0012308B">
        <w:rPr>
          <w:lang w:val="en-CA"/>
        </w:rPr>
        <w:t>Parr Traill explains</w:t>
      </w:r>
      <w:r w:rsidR="00EB585F">
        <w:rPr>
          <w:lang w:val="en-CA"/>
        </w:rPr>
        <w:t xml:space="preserve"> the</w:t>
      </w:r>
      <w:r w:rsidR="0012308B">
        <w:rPr>
          <w:lang w:val="en-CA"/>
        </w:rPr>
        <w:t xml:space="preserve"> importance of</w:t>
      </w:r>
      <w:r w:rsidR="00664875">
        <w:rPr>
          <w:lang w:val="en-CA"/>
        </w:rPr>
        <w:t xml:space="preserve"> modesty and sim</w:t>
      </w:r>
      <w:r w:rsidR="007E3A9D">
        <w:rPr>
          <w:lang w:val="en-CA"/>
        </w:rPr>
        <w:t>plicity in furnishing a log house</w:t>
      </w:r>
      <w:r w:rsidR="002220AF">
        <w:rPr>
          <w:lang w:val="en-CA"/>
        </w:rPr>
        <w:t>,</w:t>
      </w:r>
      <w:r w:rsidR="00664875">
        <w:rPr>
          <w:lang w:val="en-CA"/>
        </w:rPr>
        <w:t xml:space="preserve"> </w:t>
      </w:r>
      <w:r w:rsidR="00EB585F">
        <w:rPr>
          <w:lang w:val="en-CA"/>
        </w:rPr>
        <w:t xml:space="preserve">as </w:t>
      </w:r>
      <w:r w:rsidR="0012308B">
        <w:rPr>
          <w:lang w:val="en-CA"/>
        </w:rPr>
        <w:t xml:space="preserve">the comfort of the home far exceeded the desires of </w:t>
      </w:r>
      <w:r w:rsidR="000E3FD2">
        <w:rPr>
          <w:lang w:val="en-CA"/>
        </w:rPr>
        <w:t>intricacy</w:t>
      </w:r>
      <w:r w:rsidR="001C492D">
        <w:rPr>
          <w:lang w:val="en-CA"/>
        </w:rPr>
        <w:t>, and the “showy” items</w:t>
      </w:r>
      <w:r w:rsidR="002220AF">
        <w:rPr>
          <w:lang w:val="en-CA"/>
        </w:rPr>
        <w:t>,</w:t>
      </w:r>
      <w:r w:rsidR="001C492D">
        <w:rPr>
          <w:lang w:val="en-CA"/>
        </w:rPr>
        <w:t xml:space="preserve"> </w:t>
      </w:r>
      <w:r w:rsidR="007E3A9D">
        <w:rPr>
          <w:lang w:val="en-CA"/>
        </w:rPr>
        <w:t xml:space="preserve">one may have acquired from England, </w:t>
      </w:r>
      <w:r w:rsidR="001C492D">
        <w:rPr>
          <w:lang w:val="en-CA"/>
        </w:rPr>
        <w:t>wouldn’t match the rustic elements of the home</w:t>
      </w:r>
      <w:r w:rsidR="00664875">
        <w:rPr>
          <w:lang w:val="en-CA"/>
        </w:rPr>
        <w:t>.</w:t>
      </w:r>
      <w:r w:rsidR="00664875">
        <w:rPr>
          <w:rStyle w:val="FootnoteReference"/>
          <w:lang w:val="en-CA"/>
        </w:rPr>
        <w:footnoteReference w:id="4"/>
      </w:r>
      <w:r w:rsidR="0012308B">
        <w:rPr>
          <w:lang w:val="en-CA"/>
        </w:rPr>
        <w:t xml:space="preserve"> </w:t>
      </w:r>
      <w:r w:rsidR="00B54648">
        <w:rPr>
          <w:lang w:val="en-CA"/>
        </w:rPr>
        <w:t>In Parr Traill’s section of “Maple-sugar”, she mentions that w</w:t>
      </w:r>
      <w:r w:rsidR="0098546C">
        <w:rPr>
          <w:lang w:val="en-CA"/>
        </w:rPr>
        <w:t>omen’s roles in colonized societies didn’t include the hard work of extracting maple sugar, never mind “under-brushing” or “burning fallows”</w:t>
      </w:r>
      <w:r w:rsidR="00A05AF9">
        <w:rPr>
          <w:lang w:val="en-CA"/>
        </w:rPr>
        <w:t>, which</w:t>
      </w:r>
      <w:r w:rsidR="00B54648">
        <w:rPr>
          <w:lang w:val="en-CA"/>
        </w:rPr>
        <w:t xml:space="preserve"> can be seen as an indirect warning of the different expectations of a woman in Canada.</w:t>
      </w:r>
      <w:r w:rsidR="00B54648">
        <w:rPr>
          <w:rStyle w:val="FootnoteReference"/>
          <w:lang w:val="en-CA"/>
        </w:rPr>
        <w:footnoteReference w:id="5"/>
      </w:r>
      <w:r w:rsidR="00B54648">
        <w:rPr>
          <w:lang w:val="en-CA"/>
        </w:rPr>
        <w:t xml:space="preserve"> The enjoyment of good-tasting beer and traditional dinners in England became a past memory, instead, the art of brewing the beer yourself, and acquiring a taste for squirrel was something Parr Traill advised for a better way of life in Canada.</w:t>
      </w:r>
      <w:r w:rsidR="00B54648">
        <w:rPr>
          <w:rStyle w:val="FootnoteReference"/>
          <w:lang w:val="en-CA"/>
        </w:rPr>
        <w:footnoteReference w:id="6"/>
      </w:r>
      <w:r w:rsidR="00B54648">
        <w:rPr>
          <w:lang w:val="en-CA"/>
        </w:rPr>
        <w:t xml:space="preserve"> </w:t>
      </w:r>
      <w:r w:rsidR="00977CCA">
        <w:rPr>
          <w:lang w:val="en-CA"/>
        </w:rPr>
        <w:t>Parr Traill includes guidelines to hardships that women wouldn’t even imagine facing, yet through her suggestions, could eventually find hope.</w:t>
      </w:r>
    </w:p>
    <w:p w14:paraId="5DA328B1" w14:textId="77777777" w:rsidR="00CA64F9" w:rsidRDefault="00CA64F9" w:rsidP="00CA64F9">
      <w:pPr>
        <w:spacing w:line="480" w:lineRule="auto"/>
        <w:ind w:firstLine="720"/>
        <w:rPr>
          <w:lang w:val="en-CA"/>
        </w:rPr>
      </w:pPr>
      <w:r>
        <w:rPr>
          <w:lang w:val="en-CA"/>
        </w:rPr>
        <w:t>“</w:t>
      </w:r>
      <w:r w:rsidRPr="00CA64F9">
        <w:rPr>
          <w:rFonts w:eastAsia="Times New Roman" w:cs="Times New Roman"/>
        </w:rPr>
        <w:t>Yet let not the heart of the wife despond. It is only the first trial; better things are in store for her</w:t>
      </w:r>
      <w:r>
        <w:rPr>
          <w:rFonts w:eastAsia="Times New Roman" w:cs="Times New Roman"/>
        </w:rPr>
        <w:t xml:space="preserve">”. </w:t>
      </w:r>
      <w:r>
        <w:rPr>
          <w:rStyle w:val="FootnoteReference"/>
          <w:rFonts w:eastAsia="Times New Roman" w:cs="Times New Roman"/>
        </w:rPr>
        <w:footnoteReference w:id="7"/>
      </w:r>
      <w:r>
        <w:rPr>
          <w:rFonts w:eastAsia="Times New Roman" w:cs="Times New Roman"/>
        </w:rPr>
        <w:t xml:space="preserve"> </w:t>
      </w:r>
      <w:r w:rsidR="00977CCA" w:rsidRPr="00CA64F9">
        <w:rPr>
          <w:lang w:val="en-CA"/>
        </w:rPr>
        <w:t xml:space="preserve">Through each of the excerpts from Parr Traill’s book, her guidance brings forth a light at the end of the tunnel. </w:t>
      </w:r>
      <w:r w:rsidR="00AB05BC">
        <w:rPr>
          <w:lang w:val="en-CA"/>
        </w:rPr>
        <w:t xml:space="preserve">As insignificant as it may seem, Parr Traill includes a section of making “maple sugar sweeties” - a </w:t>
      </w:r>
      <w:r w:rsidR="002220AF">
        <w:rPr>
          <w:lang w:val="en-CA"/>
        </w:rPr>
        <w:t>“</w:t>
      </w:r>
      <w:r w:rsidR="00AB05BC">
        <w:rPr>
          <w:lang w:val="en-CA"/>
        </w:rPr>
        <w:t>cheap treat for the little ones”, which can remind the women that they will be able to bring joy to their children even through the</w:t>
      </w:r>
      <w:r w:rsidR="003C4A86">
        <w:rPr>
          <w:lang w:val="en-CA"/>
        </w:rPr>
        <w:t>ir</w:t>
      </w:r>
      <w:r w:rsidR="00AB05BC">
        <w:rPr>
          <w:lang w:val="en-CA"/>
        </w:rPr>
        <w:t xml:space="preserve"> poverties.</w:t>
      </w:r>
      <w:r w:rsidR="00AB05BC">
        <w:rPr>
          <w:rStyle w:val="FootnoteReference"/>
          <w:lang w:val="en-CA"/>
        </w:rPr>
        <w:footnoteReference w:id="8"/>
      </w:r>
      <w:r w:rsidR="00AB05BC">
        <w:rPr>
          <w:lang w:val="en-CA"/>
        </w:rPr>
        <w:t xml:space="preserve"> By brewing your own beer, Parr Traill explains that not only will you be able to provide your husband with a cold beverage in the summer heat, you will be replacing the whiskey</w:t>
      </w:r>
      <w:r w:rsidR="002220AF">
        <w:rPr>
          <w:lang w:val="en-CA"/>
        </w:rPr>
        <w:t>,</w:t>
      </w:r>
      <w:r w:rsidR="00AB05BC">
        <w:rPr>
          <w:lang w:val="en-CA"/>
        </w:rPr>
        <w:t xml:space="preserve"> diluted by water</w:t>
      </w:r>
      <w:r w:rsidR="002220AF">
        <w:rPr>
          <w:lang w:val="en-CA"/>
        </w:rPr>
        <w:t>,</w:t>
      </w:r>
      <w:r w:rsidR="00AB05BC">
        <w:rPr>
          <w:lang w:val="en-CA"/>
        </w:rPr>
        <w:t xml:space="preserve"> at a cheap price, possibly even cheaper than buying it in your previous homeland.</w:t>
      </w:r>
      <w:r w:rsidR="00AB05BC">
        <w:rPr>
          <w:rStyle w:val="FootnoteReference"/>
          <w:lang w:val="en-CA"/>
        </w:rPr>
        <w:footnoteReference w:id="9"/>
      </w:r>
      <w:r w:rsidR="00AB05BC">
        <w:rPr>
          <w:lang w:val="en-CA"/>
        </w:rPr>
        <w:t xml:space="preserve"> Parr Traill goes on to explain how even though squirrel may not be a delicacy in England or other colonies, it is a plentiful and healthy food source in Canada which can provide comfort to women who initially may find it inferior on the dinner table.</w:t>
      </w:r>
      <w:r w:rsidR="00555DC8">
        <w:rPr>
          <w:rStyle w:val="FootnoteReference"/>
          <w:lang w:val="en-CA"/>
        </w:rPr>
        <w:footnoteReference w:id="10"/>
      </w:r>
      <w:r w:rsidR="00D55ED1">
        <w:rPr>
          <w:lang w:val="en-CA"/>
        </w:rPr>
        <w:t xml:space="preserve"> </w:t>
      </w:r>
      <w:r w:rsidR="00E53E5F">
        <w:rPr>
          <w:lang w:val="en-CA"/>
        </w:rPr>
        <w:t>These optimistic passages were soothing to the women who didn’t know what to expect in their new home, and were greatly supported since Parr Traill had experienced contentment and security through her advice.</w:t>
      </w:r>
    </w:p>
    <w:p w14:paraId="575CEFD2" w14:textId="6D5375E4" w:rsidR="00E53E5F" w:rsidRDefault="000D0299" w:rsidP="00CA64F9">
      <w:pPr>
        <w:spacing w:line="480" w:lineRule="auto"/>
        <w:ind w:firstLine="720"/>
        <w:rPr>
          <w:lang w:val="en-CA"/>
        </w:rPr>
      </w:pPr>
      <w:r>
        <w:rPr>
          <w:lang w:val="en-CA"/>
        </w:rPr>
        <w:t>Settlers in Canada were gen</w:t>
      </w:r>
      <w:bookmarkStart w:id="0" w:name="_GoBack"/>
      <w:bookmarkEnd w:id="0"/>
      <w:r>
        <w:rPr>
          <w:lang w:val="en-CA"/>
        </w:rPr>
        <w:t>erally honest people because they had risked everything they</w:t>
      </w:r>
      <w:r w:rsidR="00861440">
        <w:rPr>
          <w:lang w:val="en-CA"/>
        </w:rPr>
        <w:t xml:space="preserve"> had by coming to this new land.</w:t>
      </w:r>
      <w:r>
        <w:rPr>
          <w:lang w:val="en-CA"/>
        </w:rPr>
        <w:t xml:space="preserve"> </w:t>
      </w:r>
      <w:r w:rsidR="00861440">
        <w:rPr>
          <w:lang w:val="en-CA"/>
        </w:rPr>
        <w:t>They</w:t>
      </w:r>
      <w:r>
        <w:rPr>
          <w:lang w:val="en-CA"/>
        </w:rPr>
        <w:t xml:space="preserve"> shed their own blood, sweat</w:t>
      </w:r>
      <w:r w:rsidR="003417F7">
        <w:rPr>
          <w:lang w:val="en-CA"/>
        </w:rPr>
        <w:t>,</w:t>
      </w:r>
      <w:r>
        <w:rPr>
          <w:lang w:val="en-CA"/>
        </w:rPr>
        <w:t xml:space="preserve"> and tears to make it a survivable home for them and their families</w:t>
      </w:r>
      <w:r w:rsidR="00861440">
        <w:rPr>
          <w:lang w:val="en-CA"/>
        </w:rPr>
        <w:t>, which</w:t>
      </w:r>
      <w:r w:rsidR="00512BA5">
        <w:rPr>
          <w:lang w:val="en-CA"/>
        </w:rPr>
        <w:t xml:space="preserve"> </w:t>
      </w:r>
      <w:r w:rsidR="007B102B">
        <w:rPr>
          <w:lang w:val="en-CA"/>
        </w:rPr>
        <w:t>creat</w:t>
      </w:r>
      <w:r w:rsidR="00512BA5">
        <w:rPr>
          <w:lang w:val="en-CA"/>
        </w:rPr>
        <w:t>ed</w:t>
      </w:r>
      <w:r>
        <w:rPr>
          <w:lang w:val="en-CA"/>
        </w:rPr>
        <w:t xml:space="preserve"> a safe and secure envi</w:t>
      </w:r>
      <w:r w:rsidR="007B635B">
        <w:rPr>
          <w:lang w:val="en-CA"/>
        </w:rPr>
        <w:t xml:space="preserve">ronment that may not have been attainable in a country where there is </w:t>
      </w:r>
      <w:r w:rsidR="007B102B">
        <w:rPr>
          <w:lang w:val="en-CA"/>
        </w:rPr>
        <w:t xml:space="preserve">wealth and </w:t>
      </w:r>
      <w:r w:rsidR="007B635B">
        <w:rPr>
          <w:lang w:val="en-CA"/>
        </w:rPr>
        <w:t>greed.</w:t>
      </w:r>
      <w:r w:rsidR="007B635B">
        <w:rPr>
          <w:rStyle w:val="FootnoteReference"/>
          <w:lang w:val="en-CA"/>
        </w:rPr>
        <w:footnoteReference w:id="11"/>
      </w:r>
      <w:r w:rsidR="007B635B">
        <w:rPr>
          <w:lang w:val="en-CA"/>
        </w:rPr>
        <w:t xml:space="preserve"> In the excerpt “Furnishing a log house”</w:t>
      </w:r>
      <w:r w:rsidR="00360955">
        <w:rPr>
          <w:lang w:val="en-CA"/>
        </w:rPr>
        <w:t>, Parr T</w:t>
      </w:r>
      <w:r w:rsidR="007B635B">
        <w:rPr>
          <w:lang w:val="en-CA"/>
        </w:rPr>
        <w:t xml:space="preserve">raill explains how every piece of furniture, counter, seat, and shelf is made with one’s own hands, which can allude </w:t>
      </w:r>
      <w:r w:rsidR="002220AF">
        <w:rPr>
          <w:lang w:val="en-CA"/>
        </w:rPr>
        <w:t>to the pride someone would have -</w:t>
      </w:r>
      <w:r w:rsidR="007B635B">
        <w:rPr>
          <w:lang w:val="en-CA"/>
        </w:rPr>
        <w:t xml:space="preserve"> not feeling the need to steal from others.</w:t>
      </w:r>
      <w:r w:rsidR="007B635B">
        <w:rPr>
          <w:rStyle w:val="FootnoteReference"/>
          <w:lang w:val="en-CA"/>
        </w:rPr>
        <w:footnoteReference w:id="12"/>
      </w:r>
      <w:r w:rsidR="007B635B">
        <w:rPr>
          <w:lang w:val="en-CA"/>
        </w:rPr>
        <w:t xml:space="preserve"> Through knitting and </w:t>
      </w:r>
      <w:r w:rsidR="00360955">
        <w:rPr>
          <w:lang w:val="en-CA"/>
        </w:rPr>
        <w:t xml:space="preserve">making </w:t>
      </w:r>
      <w:r w:rsidR="007B635B">
        <w:rPr>
          <w:lang w:val="en-CA"/>
        </w:rPr>
        <w:t xml:space="preserve">maple syrup, Parr Traill mentions that these items can be sold for a currency </w:t>
      </w:r>
      <w:r w:rsidR="00360955">
        <w:rPr>
          <w:lang w:val="en-CA"/>
        </w:rPr>
        <w:t xml:space="preserve">of </w:t>
      </w:r>
      <w:r w:rsidR="007B635B">
        <w:rPr>
          <w:lang w:val="en-CA"/>
        </w:rPr>
        <w:t>up to two shillings and three pence, which can provide a family with the consolation that there is the opportunity of financial income and security.</w:t>
      </w:r>
      <w:r w:rsidR="007B635B">
        <w:rPr>
          <w:rStyle w:val="FootnoteReference"/>
          <w:lang w:val="en-CA"/>
        </w:rPr>
        <w:footnoteReference w:id="13"/>
      </w:r>
      <w:r w:rsidR="007B635B">
        <w:rPr>
          <w:lang w:val="en-CA"/>
        </w:rPr>
        <w:t xml:space="preserve"> </w:t>
      </w:r>
    </w:p>
    <w:p w14:paraId="23692175" w14:textId="73E80AED" w:rsidR="0095422D" w:rsidRPr="00AC1BF9" w:rsidRDefault="00AC1BF9" w:rsidP="00CA64F9">
      <w:pPr>
        <w:spacing w:line="480" w:lineRule="auto"/>
        <w:ind w:firstLine="720"/>
        <w:rPr>
          <w:lang w:val="en-CA"/>
        </w:rPr>
      </w:pPr>
      <w:r>
        <w:rPr>
          <w:lang w:val="en-CA"/>
        </w:rPr>
        <w:t xml:space="preserve">These excerpts were brought forth in the periodical, </w:t>
      </w:r>
      <w:r>
        <w:rPr>
          <w:i/>
          <w:lang w:val="en-CA"/>
        </w:rPr>
        <w:t xml:space="preserve">Canada’s History 97, </w:t>
      </w:r>
      <w:r>
        <w:rPr>
          <w:lang w:val="en-CA"/>
        </w:rPr>
        <w:t>under the title “Canadian House Keeping” quite recent</w:t>
      </w:r>
      <w:r w:rsidR="003417F7">
        <w:rPr>
          <w:lang w:val="en-CA"/>
        </w:rPr>
        <w:t>ly in 2017</w:t>
      </w:r>
      <w:r w:rsidR="00FF369F">
        <w:rPr>
          <w:lang w:val="en-CA"/>
        </w:rPr>
        <w:t>, which has significance of its own</w:t>
      </w:r>
      <w:r w:rsidR="003417F7">
        <w:rPr>
          <w:lang w:val="en-CA"/>
        </w:rPr>
        <w:t>.</w:t>
      </w:r>
      <w:r w:rsidR="00EE50DA">
        <w:rPr>
          <w:rStyle w:val="FootnoteReference"/>
          <w:lang w:val="en-CA"/>
        </w:rPr>
        <w:footnoteReference w:id="14"/>
      </w:r>
      <w:r w:rsidR="003417F7">
        <w:rPr>
          <w:lang w:val="en-CA"/>
        </w:rPr>
        <w:t xml:space="preserve"> In </w:t>
      </w:r>
      <w:r w:rsidR="00EE50DA">
        <w:rPr>
          <w:lang w:val="en-CA"/>
        </w:rPr>
        <w:t>Canada today</w:t>
      </w:r>
      <w:r w:rsidR="00D824B4">
        <w:rPr>
          <w:lang w:val="en-CA"/>
        </w:rPr>
        <w:t xml:space="preserve">, emigration of families continues, and </w:t>
      </w:r>
      <w:r w:rsidR="00FF369F">
        <w:rPr>
          <w:lang w:val="en-CA"/>
        </w:rPr>
        <w:t>Parr Traill’s advice on how to make a home as a new comer to this country is still a relatable topic for some</w:t>
      </w:r>
      <w:r>
        <w:rPr>
          <w:lang w:val="en-CA"/>
        </w:rPr>
        <w:t xml:space="preserve">. However, most women </w:t>
      </w:r>
      <w:r w:rsidR="00EE50DA">
        <w:rPr>
          <w:lang w:val="en-CA"/>
        </w:rPr>
        <w:t>today</w:t>
      </w:r>
      <w:r>
        <w:rPr>
          <w:lang w:val="en-CA"/>
        </w:rPr>
        <w:t xml:space="preserve"> aren’t forced to survive or make a home in the </w:t>
      </w:r>
      <w:r w:rsidR="00EE50DA">
        <w:rPr>
          <w:lang w:val="en-CA"/>
        </w:rPr>
        <w:t xml:space="preserve">complete </w:t>
      </w:r>
      <w:r>
        <w:rPr>
          <w:lang w:val="en-CA"/>
        </w:rPr>
        <w:t>wilderness, which through these ex</w:t>
      </w:r>
      <w:r w:rsidR="00D4044A">
        <w:rPr>
          <w:lang w:val="en-CA"/>
        </w:rPr>
        <w:t>tracts</w:t>
      </w:r>
      <w:r>
        <w:rPr>
          <w:lang w:val="en-CA"/>
        </w:rPr>
        <w:t xml:space="preserve"> from </w:t>
      </w:r>
      <w:r>
        <w:rPr>
          <w:i/>
          <w:lang w:val="en-CA"/>
        </w:rPr>
        <w:t>The Female Emigrant’s Guide,</w:t>
      </w:r>
      <w:r>
        <w:rPr>
          <w:lang w:val="en-CA"/>
        </w:rPr>
        <w:t xml:space="preserve"> readers of this document can </w:t>
      </w:r>
      <w:r w:rsidR="00D4044A">
        <w:rPr>
          <w:lang w:val="en-CA"/>
        </w:rPr>
        <w:t>understand the shock Parr Traill and many other women must have gone through to make a desirable home for their families</w:t>
      </w:r>
      <w:r w:rsidR="003417F7">
        <w:rPr>
          <w:lang w:val="en-CA"/>
        </w:rPr>
        <w:t xml:space="preserve"> while emigrating</w:t>
      </w:r>
      <w:r w:rsidR="00281689">
        <w:rPr>
          <w:lang w:val="en-CA"/>
        </w:rPr>
        <w:t xml:space="preserve">; so much so, that Parr Traill didn’t want any other woman to experience what she did in the process.   </w:t>
      </w:r>
      <w:r>
        <w:rPr>
          <w:lang w:val="en-CA"/>
        </w:rPr>
        <w:t xml:space="preserve">  </w:t>
      </w:r>
    </w:p>
    <w:p w14:paraId="13355B00" w14:textId="77777777" w:rsidR="007B635B" w:rsidRDefault="007B635B" w:rsidP="00CA64F9">
      <w:pPr>
        <w:spacing w:line="480" w:lineRule="auto"/>
        <w:ind w:firstLine="720"/>
        <w:rPr>
          <w:lang w:val="en-CA"/>
        </w:rPr>
      </w:pPr>
    </w:p>
    <w:p w14:paraId="00F0CC25" w14:textId="77777777" w:rsidR="00E53E5F" w:rsidRPr="00CA64F9" w:rsidRDefault="00E53E5F" w:rsidP="00CA64F9">
      <w:pPr>
        <w:spacing w:line="480" w:lineRule="auto"/>
        <w:ind w:firstLine="720"/>
        <w:rPr>
          <w:rFonts w:eastAsia="Times New Roman" w:cs="Times New Roman"/>
        </w:rPr>
      </w:pPr>
    </w:p>
    <w:p w14:paraId="30D4634F" w14:textId="77777777" w:rsidR="007F3A7E" w:rsidRPr="00CA64F9" w:rsidRDefault="00977CCA" w:rsidP="00CA64F9">
      <w:pPr>
        <w:spacing w:line="480" w:lineRule="auto"/>
        <w:ind w:firstLine="720"/>
        <w:rPr>
          <w:lang w:val="en-CA"/>
        </w:rPr>
      </w:pPr>
      <w:r w:rsidRPr="00CA64F9">
        <w:rPr>
          <w:lang w:val="en-CA"/>
        </w:rPr>
        <w:t xml:space="preserve">   </w:t>
      </w:r>
    </w:p>
    <w:sectPr w:rsidR="007F3A7E" w:rsidRPr="00CA64F9" w:rsidSect="002E7082">
      <w:headerReference w:type="even" r:id="rId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17D75" w14:textId="77777777" w:rsidR="0045318F" w:rsidRDefault="0045318F" w:rsidP="002E7082">
      <w:r>
        <w:separator/>
      </w:r>
    </w:p>
  </w:endnote>
  <w:endnote w:type="continuationSeparator" w:id="0">
    <w:p w14:paraId="7EE9DBBA" w14:textId="77777777" w:rsidR="0045318F" w:rsidRDefault="0045318F" w:rsidP="002E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739F" w14:textId="77777777" w:rsidR="0045318F" w:rsidRDefault="0045318F" w:rsidP="002E7082">
      <w:r>
        <w:separator/>
      </w:r>
    </w:p>
  </w:footnote>
  <w:footnote w:type="continuationSeparator" w:id="0">
    <w:p w14:paraId="00B83772" w14:textId="77777777" w:rsidR="0045318F" w:rsidRDefault="0045318F" w:rsidP="002E7082">
      <w:r>
        <w:continuationSeparator/>
      </w:r>
    </w:p>
  </w:footnote>
  <w:footnote w:id="1">
    <w:p w14:paraId="57863D3F" w14:textId="77777777" w:rsidR="00977A34" w:rsidRPr="00977A34" w:rsidRDefault="00977A34">
      <w:pPr>
        <w:pStyle w:val="FootnoteText"/>
        <w:rPr>
          <w:lang w:val="en-CA"/>
        </w:rPr>
      </w:pPr>
      <w:r>
        <w:rPr>
          <w:rStyle w:val="FootnoteReference"/>
        </w:rPr>
        <w:footnoteRef/>
      </w:r>
      <w:r>
        <w:t xml:space="preserve"> </w:t>
      </w:r>
      <w:r>
        <w:rPr>
          <w:lang w:val="en-CA"/>
        </w:rPr>
        <w:t xml:space="preserve">“Canadian House Keeping: The Female Emigrants Wife by Catherine Parr Traill.” </w:t>
      </w:r>
      <w:r>
        <w:rPr>
          <w:i/>
          <w:lang w:val="en-CA"/>
        </w:rPr>
        <w:t>Canadas’s History 97,</w:t>
      </w:r>
      <w:r>
        <w:rPr>
          <w:lang w:val="en-CA"/>
        </w:rPr>
        <w:t xml:space="preserve"> no. 4 (August 2017): 51.</w:t>
      </w:r>
    </w:p>
  </w:footnote>
  <w:footnote w:id="2">
    <w:p w14:paraId="53E886C2" w14:textId="77777777" w:rsidR="00977A34" w:rsidRPr="00977A34" w:rsidRDefault="00977A34">
      <w:pPr>
        <w:pStyle w:val="FootnoteText"/>
        <w:rPr>
          <w:i/>
          <w:lang w:val="en-CA"/>
        </w:rPr>
      </w:pPr>
      <w:r>
        <w:rPr>
          <w:rStyle w:val="FootnoteReference"/>
        </w:rPr>
        <w:footnoteRef/>
      </w:r>
      <w:r>
        <w:t xml:space="preserve"> </w:t>
      </w:r>
      <w:r>
        <w:rPr>
          <w:i/>
          <w:lang w:val="en-CA"/>
        </w:rPr>
        <w:t>Ibid.</w:t>
      </w:r>
    </w:p>
  </w:footnote>
  <w:footnote w:id="3">
    <w:p w14:paraId="1A869765" w14:textId="77777777" w:rsidR="006A53CC" w:rsidRPr="006A53CC" w:rsidRDefault="006A53CC">
      <w:pPr>
        <w:pStyle w:val="FootnoteText"/>
        <w:rPr>
          <w:i/>
          <w:lang w:val="en-CA"/>
        </w:rPr>
      </w:pPr>
      <w:r>
        <w:rPr>
          <w:rStyle w:val="FootnoteReference"/>
        </w:rPr>
        <w:footnoteRef/>
      </w:r>
      <w:r>
        <w:t xml:space="preserve"> </w:t>
      </w:r>
      <w:r>
        <w:rPr>
          <w:i/>
          <w:lang w:val="en-CA"/>
        </w:rPr>
        <w:t>Ibid.</w:t>
      </w:r>
    </w:p>
  </w:footnote>
  <w:footnote w:id="4">
    <w:p w14:paraId="386ACC24" w14:textId="77777777" w:rsidR="00664875" w:rsidRPr="00664875" w:rsidRDefault="00664875">
      <w:pPr>
        <w:pStyle w:val="FootnoteText"/>
        <w:rPr>
          <w:i/>
          <w:lang w:val="en-CA"/>
        </w:rPr>
      </w:pPr>
      <w:r>
        <w:rPr>
          <w:rStyle w:val="FootnoteReference"/>
        </w:rPr>
        <w:footnoteRef/>
      </w:r>
      <w:r>
        <w:t xml:space="preserve"> </w:t>
      </w:r>
      <w:r>
        <w:rPr>
          <w:i/>
          <w:lang w:val="en-CA"/>
        </w:rPr>
        <w:t>Ibid., 52.</w:t>
      </w:r>
    </w:p>
  </w:footnote>
  <w:footnote w:id="5">
    <w:p w14:paraId="742661BC" w14:textId="77777777" w:rsidR="00B54648" w:rsidRPr="00B54648" w:rsidRDefault="00B54648">
      <w:pPr>
        <w:pStyle w:val="FootnoteText"/>
        <w:rPr>
          <w:i/>
          <w:lang w:val="en-CA"/>
        </w:rPr>
      </w:pPr>
      <w:r>
        <w:rPr>
          <w:rStyle w:val="FootnoteReference"/>
        </w:rPr>
        <w:footnoteRef/>
      </w:r>
      <w:r>
        <w:t xml:space="preserve"> </w:t>
      </w:r>
      <w:r>
        <w:rPr>
          <w:i/>
          <w:lang w:val="en-CA"/>
        </w:rPr>
        <w:t>Ibid.</w:t>
      </w:r>
    </w:p>
  </w:footnote>
  <w:footnote w:id="6">
    <w:p w14:paraId="7F804F45" w14:textId="77777777" w:rsidR="00B54648" w:rsidRPr="00CA64F9" w:rsidRDefault="00B54648">
      <w:pPr>
        <w:pStyle w:val="FootnoteText"/>
        <w:rPr>
          <w:i/>
          <w:lang w:val="en-CA"/>
        </w:rPr>
      </w:pPr>
      <w:r>
        <w:rPr>
          <w:rStyle w:val="FootnoteReference"/>
        </w:rPr>
        <w:footnoteRef/>
      </w:r>
      <w:r>
        <w:t xml:space="preserve"> </w:t>
      </w:r>
      <w:r w:rsidR="00CA64F9">
        <w:rPr>
          <w:i/>
        </w:rPr>
        <w:t>Ibid., 52-53.</w:t>
      </w:r>
    </w:p>
  </w:footnote>
  <w:footnote w:id="7">
    <w:p w14:paraId="786E1282" w14:textId="77777777" w:rsidR="00CA64F9" w:rsidRPr="00CA64F9" w:rsidRDefault="00CA64F9">
      <w:pPr>
        <w:pStyle w:val="FootnoteText"/>
        <w:rPr>
          <w:i/>
          <w:lang w:val="en-CA"/>
        </w:rPr>
      </w:pPr>
      <w:r>
        <w:rPr>
          <w:rStyle w:val="FootnoteReference"/>
        </w:rPr>
        <w:footnoteRef/>
      </w:r>
      <w:r>
        <w:t xml:space="preserve"> </w:t>
      </w:r>
      <w:r>
        <w:rPr>
          <w:i/>
        </w:rPr>
        <w:t>Ibid., 52.</w:t>
      </w:r>
    </w:p>
  </w:footnote>
  <w:footnote w:id="8">
    <w:p w14:paraId="31C8FC97" w14:textId="77777777" w:rsidR="00AB05BC" w:rsidRPr="00AB05BC" w:rsidRDefault="00AB05BC">
      <w:pPr>
        <w:pStyle w:val="FootnoteText"/>
        <w:rPr>
          <w:i/>
          <w:lang w:val="en-CA"/>
        </w:rPr>
      </w:pPr>
      <w:r>
        <w:rPr>
          <w:rStyle w:val="FootnoteReference"/>
        </w:rPr>
        <w:footnoteRef/>
      </w:r>
      <w:r>
        <w:t xml:space="preserve"> </w:t>
      </w:r>
      <w:r>
        <w:rPr>
          <w:i/>
          <w:lang w:val="en-CA"/>
        </w:rPr>
        <w:t>Ibid.</w:t>
      </w:r>
    </w:p>
  </w:footnote>
  <w:footnote w:id="9">
    <w:p w14:paraId="068EEDF9" w14:textId="77777777" w:rsidR="00AB05BC" w:rsidRPr="00AB05BC" w:rsidRDefault="00AB05BC">
      <w:pPr>
        <w:pStyle w:val="FootnoteText"/>
        <w:rPr>
          <w:i/>
          <w:lang w:val="en-CA"/>
        </w:rPr>
      </w:pPr>
      <w:r>
        <w:rPr>
          <w:rStyle w:val="FootnoteReference"/>
        </w:rPr>
        <w:footnoteRef/>
      </w:r>
      <w:r>
        <w:t xml:space="preserve"> </w:t>
      </w:r>
      <w:r>
        <w:rPr>
          <w:i/>
          <w:lang w:val="en-CA"/>
        </w:rPr>
        <w:t>Ibid.</w:t>
      </w:r>
    </w:p>
  </w:footnote>
  <w:footnote w:id="10">
    <w:p w14:paraId="344C1704" w14:textId="77777777" w:rsidR="00555DC8" w:rsidRPr="00555DC8" w:rsidRDefault="00555DC8">
      <w:pPr>
        <w:pStyle w:val="FootnoteText"/>
        <w:rPr>
          <w:i/>
          <w:lang w:val="en-CA"/>
        </w:rPr>
      </w:pPr>
      <w:r>
        <w:rPr>
          <w:rStyle w:val="FootnoteReference"/>
        </w:rPr>
        <w:footnoteRef/>
      </w:r>
      <w:r>
        <w:t xml:space="preserve"> </w:t>
      </w:r>
      <w:r>
        <w:rPr>
          <w:i/>
          <w:lang w:val="en-CA"/>
        </w:rPr>
        <w:t>Ibid., 53.</w:t>
      </w:r>
    </w:p>
  </w:footnote>
  <w:footnote w:id="11">
    <w:p w14:paraId="661BB8B6" w14:textId="77777777" w:rsidR="007B635B" w:rsidRPr="007B635B" w:rsidRDefault="007B635B">
      <w:pPr>
        <w:pStyle w:val="FootnoteText"/>
        <w:rPr>
          <w:i/>
          <w:lang w:val="en-CA"/>
        </w:rPr>
      </w:pPr>
      <w:r>
        <w:rPr>
          <w:rStyle w:val="FootnoteReference"/>
        </w:rPr>
        <w:footnoteRef/>
      </w:r>
      <w:r>
        <w:t xml:space="preserve"> </w:t>
      </w:r>
      <w:r>
        <w:rPr>
          <w:i/>
          <w:lang w:val="en-CA"/>
        </w:rPr>
        <w:t>Ibid., 52.</w:t>
      </w:r>
    </w:p>
  </w:footnote>
  <w:footnote w:id="12">
    <w:p w14:paraId="508A0A2A" w14:textId="77777777" w:rsidR="007B635B" w:rsidRPr="007B635B" w:rsidRDefault="007B635B">
      <w:pPr>
        <w:pStyle w:val="FootnoteText"/>
        <w:rPr>
          <w:i/>
          <w:lang w:val="en-CA"/>
        </w:rPr>
      </w:pPr>
      <w:r>
        <w:rPr>
          <w:rStyle w:val="FootnoteReference"/>
        </w:rPr>
        <w:footnoteRef/>
      </w:r>
      <w:r>
        <w:t xml:space="preserve"> </w:t>
      </w:r>
      <w:r>
        <w:rPr>
          <w:i/>
          <w:lang w:val="en-CA"/>
        </w:rPr>
        <w:t>Ibid.</w:t>
      </w:r>
    </w:p>
  </w:footnote>
  <w:footnote w:id="13">
    <w:p w14:paraId="5AB4C440" w14:textId="77777777" w:rsidR="007B635B" w:rsidRPr="007B635B" w:rsidRDefault="007B635B">
      <w:pPr>
        <w:pStyle w:val="FootnoteText"/>
        <w:rPr>
          <w:i/>
          <w:lang w:val="en-CA"/>
        </w:rPr>
      </w:pPr>
      <w:r>
        <w:rPr>
          <w:rStyle w:val="FootnoteReference"/>
        </w:rPr>
        <w:footnoteRef/>
      </w:r>
      <w:r>
        <w:t xml:space="preserve"> </w:t>
      </w:r>
      <w:r>
        <w:rPr>
          <w:i/>
          <w:lang w:val="en-CA"/>
        </w:rPr>
        <w:t>Ibid., 53</w:t>
      </w:r>
    </w:p>
  </w:footnote>
  <w:footnote w:id="14">
    <w:p w14:paraId="41905EEB" w14:textId="277A56DF" w:rsidR="00EE50DA" w:rsidRPr="00EE50DA" w:rsidRDefault="00EE50DA">
      <w:pPr>
        <w:pStyle w:val="FootnoteText"/>
        <w:rPr>
          <w:i/>
          <w:lang w:val="en-CA"/>
        </w:rPr>
      </w:pPr>
      <w:r>
        <w:rPr>
          <w:rStyle w:val="FootnoteReference"/>
        </w:rPr>
        <w:footnoteRef/>
      </w:r>
      <w:r>
        <w:t xml:space="preserve"> </w:t>
      </w:r>
      <w:r>
        <w:rPr>
          <w:i/>
          <w:lang w:val="en-CA"/>
        </w:rPr>
        <w:t>Ibid., 51.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A574" w14:textId="77777777" w:rsidR="002E7082" w:rsidRDefault="002E7082" w:rsidP="00AB3B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D1DB1" w14:textId="77777777" w:rsidR="002E7082" w:rsidRDefault="002E7082" w:rsidP="002E70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CB40" w14:textId="77777777" w:rsidR="002E7082" w:rsidRDefault="002E7082" w:rsidP="00AB3BEC">
    <w:pPr>
      <w:pStyle w:val="Header"/>
      <w:framePr w:wrap="none" w:vAnchor="text" w:hAnchor="margin" w:xAlign="right" w:y="1"/>
      <w:rPr>
        <w:rStyle w:val="PageNumber"/>
      </w:rPr>
    </w:pPr>
    <w:r>
      <w:rPr>
        <w:rStyle w:val="PageNumber"/>
      </w:rPr>
      <w:t>1</w:t>
    </w:r>
  </w:p>
  <w:p w14:paraId="5FA44B23" w14:textId="77777777" w:rsidR="002E7082" w:rsidRDefault="002E7082" w:rsidP="002E708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EE"/>
    <w:rsid w:val="000D0299"/>
    <w:rsid w:val="000E3FD2"/>
    <w:rsid w:val="001119D9"/>
    <w:rsid w:val="0012308B"/>
    <w:rsid w:val="001C492D"/>
    <w:rsid w:val="002220AF"/>
    <w:rsid w:val="00281689"/>
    <w:rsid w:val="0028368D"/>
    <w:rsid w:val="002E7082"/>
    <w:rsid w:val="00337BE2"/>
    <w:rsid w:val="003417F7"/>
    <w:rsid w:val="00360955"/>
    <w:rsid w:val="003C4A86"/>
    <w:rsid w:val="0045318F"/>
    <w:rsid w:val="004E56FE"/>
    <w:rsid w:val="00512BA5"/>
    <w:rsid w:val="00555DC8"/>
    <w:rsid w:val="00664875"/>
    <w:rsid w:val="006A53CC"/>
    <w:rsid w:val="00712E2C"/>
    <w:rsid w:val="0079091F"/>
    <w:rsid w:val="007B102B"/>
    <w:rsid w:val="007B635B"/>
    <w:rsid w:val="007E3A9D"/>
    <w:rsid w:val="007F3A7E"/>
    <w:rsid w:val="00861440"/>
    <w:rsid w:val="008B6B7F"/>
    <w:rsid w:val="0095422D"/>
    <w:rsid w:val="00960FC2"/>
    <w:rsid w:val="009624EE"/>
    <w:rsid w:val="00977A34"/>
    <w:rsid w:val="00977CCA"/>
    <w:rsid w:val="0098546C"/>
    <w:rsid w:val="00A05AF9"/>
    <w:rsid w:val="00A2659A"/>
    <w:rsid w:val="00A41E6B"/>
    <w:rsid w:val="00AB05BC"/>
    <w:rsid w:val="00AC1BF9"/>
    <w:rsid w:val="00AE6807"/>
    <w:rsid w:val="00B54648"/>
    <w:rsid w:val="00BB68AC"/>
    <w:rsid w:val="00BE7A54"/>
    <w:rsid w:val="00C877AB"/>
    <w:rsid w:val="00CA64F9"/>
    <w:rsid w:val="00D4044A"/>
    <w:rsid w:val="00D55ED1"/>
    <w:rsid w:val="00D824B4"/>
    <w:rsid w:val="00E34D93"/>
    <w:rsid w:val="00E36FF9"/>
    <w:rsid w:val="00E53E5F"/>
    <w:rsid w:val="00EB585F"/>
    <w:rsid w:val="00EE50DA"/>
    <w:rsid w:val="00F64BC8"/>
    <w:rsid w:val="00F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031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082"/>
    <w:pPr>
      <w:tabs>
        <w:tab w:val="center" w:pos="4680"/>
        <w:tab w:val="right" w:pos="9360"/>
      </w:tabs>
    </w:pPr>
  </w:style>
  <w:style w:type="character" w:customStyle="1" w:styleId="HeaderChar">
    <w:name w:val="Header Char"/>
    <w:basedOn w:val="DefaultParagraphFont"/>
    <w:link w:val="Header"/>
    <w:uiPriority w:val="99"/>
    <w:rsid w:val="002E7082"/>
  </w:style>
  <w:style w:type="paragraph" w:styleId="Footer">
    <w:name w:val="footer"/>
    <w:basedOn w:val="Normal"/>
    <w:link w:val="FooterChar"/>
    <w:uiPriority w:val="99"/>
    <w:unhideWhenUsed/>
    <w:rsid w:val="002E7082"/>
    <w:pPr>
      <w:tabs>
        <w:tab w:val="center" w:pos="4680"/>
        <w:tab w:val="right" w:pos="9360"/>
      </w:tabs>
    </w:pPr>
  </w:style>
  <w:style w:type="character" w:customStyle="1" w:styleId="FooterChar">
    <w:name w:val="Footer Char"/>
    <w:basedOn w:val="DefaultParagraphFont"/>
    <w:link w:val="Footer"/>
    <w:uiPriority w:val="99"/>
    <w:rsid w:val="002E7082"/>
  </w:style>
  <w:style w:type="character" w:styleId="PageNumber">
    <w:name w:val="page number"/>
    <w:basedOn w:val="DefaultParagraphFont"/>
    <w:uiPriority w:val="99"/>
    <w:semiHidden/>
    <w:unhideWhenUsed/>
    <w:rsid w:val="002E7082"/>
  </w:style>
  <w:style w:type="paragraph" w:styleId="FootnoteText">
    <w:name w:val="footnote text"/>
    <w:basedOn w:val="Normal"/>
    <w:link w:val="FootnoteTextChar"/>
    <w:uiPriority w:val="99"/>
    <w:unhideWhenUsed/>
    <w:rsid w:val="00977A34"/>
  </w:style>
  <w:style w:type="character" w:customStyle="1" w:styleId="FootnoteTextChar">
    <w:name w:val="Footnote Text Char"/>
    <w:basedOn w:val="DefaultParagraphFont"/>
    <w:link w:val="FootnoteText"/>
    <w:uiPriority w:val="99"/>
    <w:rsid w:val="00977A34"/>
  </w:style>
  <w:style w:type="character" w:styleId="FootnoteReference">
    <w:name w:val="footnote reference"/>
    <w:basedOn w:val="DefaultParagraphFont"/>
    <w:uiPriority w:val="99"/>
    <w:unhideWhenUsed/>
    <w:rsid w:val="00977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05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B437AA-F8C3-0943-A03E-F04FD72D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809</Words>
  <Characters>4616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josslyn ryan</dc:creator>
  <cp:keywords/>
  <dc:description/>
  <cp:lastModifiedBy>josslyn ryan</cp:lastModifiedBy>
  <cp:revision>2</cp:revision>
  <dcterms:created xsi:type="dcterms:W3CDTF">2018-10-11T00:01:00Z</dcterms:created>
  <dcterms:modified xsi:type="dcterms:W3CDTF">2018-10-11T15:38:00Z</dcterms:modified>
</cp:coreProperties>
</file>