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84D7B" w14:textId="77777777" w:rsidR="00366735" w:rsidRDefault="00D92153">
      <w:pPr>
        <w:rPr>
          <w:lang w:val="en-CA"/>
        </w:rPr>
      </w:pPr>
      <w:r>
        <w:rPr>
          <w:lang w:val="en-CA"/>
        </w:rPr>
        <w:t>Josslyn Ryan</w:t>
      </w:r>
    </w:p>
    <w:p w14:paraId="22915262" w14:textId="77777777" w:rsidR="00D92153" w:rsidRDefault="00D92153">
      <w:pPr>
        <w:rPr>
          <w:lang w:val="en-CA"/>
        </w:rPr>
      </w:pPr>
      <w:r>
        <w:rPr>
          <w:lang w:val="en-CA"/>
        </w:rPr>
        <w:t>Hist 1120</w:t>
      </w:r>
    </w:p>
    <w:p w14:paraId="3C124641" w14:textId="77777777" w:rsidR="00D92153" w:rsidRDefault="00D92153">
      <w:pPr>
        <w:rPr>
          <w:lang w:val="en-CA"/>
        </w:rPr>
      </w:pPr>
      <w:r>
        <w:rPr>
          <w:lang w:val="en-CA"/>
        </w:rPr>
        <w:t>Nov. 13, 2018</w:t>
      </w:r>
    </w:p>
    <w:p w14:paraId="241DFE7C" w14:textId="77777777" w:rsidR="00D92153" w:rsidRDefault="00D92153" w:rsidP="00D92153">
      <w:pPr>
        <w:jc w:val="center"/>
        <w:rPr>
          <w:lang w:val="en-CA"/>
        </w:rPr>
      </w:pPr>
      <w:r>
        <w:rPr>
          <w:lang w:val="en-CA"/>
        </w:rPr>
        <w:t>Reading Log #8</w:t>
      </w:r>
    </w:p>
    <w:p w14:paraId="2DB8B0D7" w14:textId="77777777" w:rsidR="00D92153" w:rsidRDefault="00D92153" w:rsidP="00D92153">
      <w:pPr>
        <w:jc w:val="center"/>
        <w:rPr>
          <w:lang w:val="en-CA"/>
        </w:rPr>
      </w:pPr>
      <w:r>
        <w:rPr>
          <w:lang w:val="en-CA"/>
        </w:rPr>
        <w:t>Duelling in Canadian History</w:t>
      </w:r>
    </w:p>
    <w:p w14:paraId="2165011F" w14:textId="77777777" w:rsidR="00D92153" w:rsidRDefault="00D92153" w:rsidP="00D92153">
      <w:pPr>
        <w:jc w:val="center"/>
        <w:rPr>
          <w:lang w:val="en-CA"/>
        </w:rPr>
      </w:pPr>
    </w:p>
    <w:p w14:paraId="3AE8D402" w14:textId="77777777" w:rsidR="00AB51C3" w:rsidRDefault="00D25CEF" w:rsidP="00D25CEF">
      <w:pPr>
        <w:spacing w:line="480" w:lineRule="auto"/>
        <w:rPr>
          <w:lang w:val="en-CA"/>
        </w:rPr>
      </w:pPr>
      <w:r>
        <w:rPr>
          <w:lang w:val="en-CA"/>
        </w:rPr>
        <w:tab/>
      </w:r>
      <w:r w:rsidR="00B3656C">
        <w:rPr>
          <w:lang w:val="en-CA"/>
        </w:rPr>
        <w:t xml:space="preserve">The act of duelling </w:t>
      </w:r>
      <w:r w:rsidR="00A63FCD">
        <w:rPr>
          <w:lang w:val="en-CA"/>
        </w:rPr>
        <w:t xml:space="preserve">was a </w:t>
      </w:r>
      <w:r w:rsidR="004218BB">
        <w:rPr>
          <w:lang w:val="en-CA"/>
        </w:rPr>
        <w:t xml:space="preserve">public display of </w:t>
      </w:r>
      <w:r w:rsidR="00094855">
        <w:rPr>
          <w:lang w:val="en-CA"/>
        </w:rPr>
        <w:t>masculine honour, and was a significant practice in Upper Canada.</w:t>
      </w:r>
      <w:r w:rsidR="00094855">
        <w:rPr>
          <w:rStyle w:val="FootnoteReference"/>
          <w:lang w:val="en-CA"/>
        </w:rPr>
        <w:footnoteReference w:id="1"/>
      </w:r>
      <w:r w:rsidR="00094855">
        <w:rPr>
          <w:lang w:val="en-CA"/>
        </w:rPr>
        <w:t xml:space="preserve"> </w:t>
      </w:r>
      <w:r w:rsidR="00457A92">
        <w:rPr>
          <w:lang w:val="en-CA"/>
        </w:rPr>
        <w:t>The duel was “falsely deemed honourable” to those who didn’t support the act, and although it was an “alternative to legal action”, it didn’t ensure one’s freedom from legal punishment.</w:t>
      </w:r>
      <w:r w:rsidR="00457A92">
        <w:rPr>
          <w:rStyle w:val="FootnoteReference"/>
          <w:lang w:val="en-CA"/>
        </w:rPr>
        <w:footnoteReference w:id="2"/>
      </w:r>
      <w:r w:rsidR="00457A92">
        <w:rPr>
          <w:lang w:val="en-CA"/>
        </w:rPr>
        <w:t xml:space="preserve"> </w:t>
      </w:r>
      <w:r w:rsidR="00094855">
        <w:rPr>
          <w:lang w:val="en-CA"/>
        </w:rPr>
        <w:t>Cecilia Morgan and Stephen R. Brown enlighten us through their writings of historical accounts, and the motivations</w:t>
      </w:r>
      <w:r w:rsidR="00FE2671">
        <w:rPr>
          <w:lang w:val="en-CA"/>
        </w:rPr>
        <w:t xml:space="preserve"> behind a duel in Upper Canada; t</w:t>
      </w:r>
      <w:r w:rsidR="00EC4D18">
        <w:rPr>
          <w:lang w:val="en-CA"/>
        </w:rPr>
        <w:t xml:space="preserve">he protection of a woman’s chastity, political and social-class reputation, and the </w:t>
      </w:r>
      <w:r w:rsidR="0037519B">
        <w:rPr>
          <w:lang w:val="en-CA"/>
        </w:rPr>
        <w:t xml:space="preserve">patriarchal </w:t>
      </w:r>
      <w:r w:rsidR="00CE2597">
        <w:rPr>
          <w:lang w:val="en-CA"/>
        </w:rPr>
        <w:t xml:space="preserve">code of how a man should defend his </w:t>
      </w:r>
      <w:r w:rsidR="00FE2671">
        <w:rPr>
          <w:lang w:val="en-CA"/>
        </w:rPr>
        <w:t>honour.</w:t>
      </w:r>
      <w:r w:rsidR="00AB51C3">
        <w:rPr>
          <w:lang w:val="en-CA"/>
        </w:rPr>
        <w:t xml:space="preserve"> </w:t>
      </w:r>
    </w:p>
    <w:p w14:paraId="111A3116" w14:textId="77777777" w:rsidR="00064B4E" w:rsidRDefault="00AB51C3" w:rsidP="00D25CEF">
      <w:pPr>
        <w:spacing w:line="480" w:lineRule="auto"/>
        <w:rPr>
          <w:lang w:val="en-CA"/>
        </w:rPr>
      </w:pPr>
      <w:r>
        <w:rPr>
          <w:lang w:val="en-CA"/>
        </w:rPr>
        <w:tab/>
      </w:r>
      <w:r w:rsidR="003109DE">
        <w:rPr>
          <w:lang w:val="en-CA"/>
        </w:rPr>
        <w:t xml:space="preserve">Women’s chastity was the subject of the initiation of a duel, especially wives of men who </w:t>
      </w:r>
      <w:r w:rsidR="003466BF">
        <w:rPr>
          <w:lang w:val="en-CA"/>
        </w:rPr>
        <w:t>had a reputation to protect.</w:t>
      </w:r>
      <w:r w:rsidR="003466BF">
        <w:rPr>
          <w:rStyle w:val="FootnoteReference"/>
          <w:lang w:val="en-CA"/>
        </w:rPr>
        <w:footnoteReference w:id="3"/>
      </w:r>
      <w:r w:rsidR="003109DE">
        <w:rPr>
          <w:lang w:val="en-CA"/>
        </w:rPr>
        <w:t xml:space="preserve"> </w:t>
      </w:r>
      <w:r w:rsidR="00457A92">
        <w:rPr>
          <w:lang w:val="en-CA"/>
        </w:rPr>
        <w:t xml:space="preserve">John White and John Small commenced a duel over the </w:t>
      </w:r>
      <w:r w:rsidR="003109DE">
        <w:rPr>
          <w:lang w:val="en-CA"/>
        </w:rPr>
        <w:t xml:space="preserve">slandering of Small’s wife </w:t>
      </w:r>
      <w:r w:rsidR="003466BF">
        <w:rPr>
          <w:lang w:val="en-CA"/>
        </w:rPr>
        <w:t xml:space="preserve">regarding her sexual immorality, which left white with injuries leading to death. </w:t>
      </w:r>
      <w:r w:rsidR="00C928FF">
        <w:rPr>
          <w:lang w:val="en-CA"/>
        </w:rPr>
        <w:t>There was a similar motive, and unfortunate result, behind the duel between Robert Lyon and John Wilson.</w:t>
      </w:r>
      <w:r w:rsidR="00C928FF">
        <w:rPr>
          <w:rStyle w:val="FootnoteReference"/>
          <w:lang w:val="en-CA"/>
        </w:rPr>
        <w:footnoteReference w:id="4"/>
      </w:r>
      <w:r w:rsidR="00C928FF">
        <w:rPr>
          <w:lang w:val="en-CA"/>
        </w:rPr>
        <w:t xml:space="preserve"> Morgan and Brown recall these accounts to bring forth the importance of women’s actions in the patriarchy, and how their husbands were societally forced to defend their reputation.</w:t>
      </w:r>
    </w:p>
    <w:p w14:paraId="34D9E319" w14:textId="77777777" w:rsidR="00C928FF" w:rsidRDefault="00C928FF" w:rsidP="00D25CEF">
      <w:pPr>
        <w:spacing w:line="480" w:lineRule="auto"/>
        <w:rPr>
          <w:lang w:val="en-CA"/>
        </w:rPr>
      </w:pPr>
      <w:r>
        <w:rPr>
          <w:lang w:val="en-CA"/>
        </w:rPr>
        <w:tab/>
        <w:t xml:space="preserve">Brown’s article covers the Lyon-Wilson duel, and discusses that by accepting, or initiating a duel, wasn’t necessarily out of anger, or the only option for justice; however, it </w:t>
      </w:r>
      <w:r>
        <w:rPr>
          <w:lang w:val="en-CA"/>
        </w:rPr>
        <w:lastRenderedPageBreak/>
        <w:t>allowed a man to keep, or climb the ladder in his career and social reputation.</w:t>
      </w:r>
      <w:r>
        <w:rPr>
          <w:rStyle w:val="FootnoteReference"/>
          <w:lang w:val="en-CA"/>
        </w:rPr>
        <w:footnoteReference w:id="5"/>
      </w:r>
      <w:r>
        <w:rPr>
          <w:lang w:val="en-CA"/>
        </w:rPr>
        <w:t xml:space="preserve"> </w:t>
      </w:r>
      <w:r w:rsidR="001E00C9">
        <w:rPr>
          <w:lang w:val="en-CA"/>
        </w:rPr>
        <w:t>In colonial Upper Canada, Perth, Ontario was a community of sophistication, and “an aristocratic officers’ retreat”, which has significance in this particular duel.</w:t>
      </w:r>
      <w:r w:rsidR="001E00C9">
        <w:rPr>
          <w:rStyle w:val="FootnoteReference"/>
          <w:lang w:val="en-CA"/>
        </w:rPr>
        <w:footnoteReference w:id="6"/>
      </w:r>
      <w:r w:rsidR="001E00C9">
        <w:rPr>
          <w:lang w:val="en-CA"/>
        </w:rPr>
        <w:t xml:space="preserve"> Wilson was an aspiring lawyer within this community, and when he was embarrassed by Lyon regarding his love for Elizabeth, he felt the need to initiate a duel solely for the purpose of “maintaining his dignity and respect” for his promising career.</w:t>
      </w:r>
      <w:r w:rsidR="001E00C9">
        <w:rPr>
          <w:rStyle w:val="FootnoteReference"/>
          <w:lang w:val="en-CA"/>
        </w:rPr>
        <w:footnoteReference w:id="7"/>
      </w:r>
      <w:r w:rsidR="001E00C9">
        <w:rPr>
          <w:lang w:val="en-CA"/>
        </w:rPr>
        <w:t xml:space="preserve"> Brown’s article enlightens the significance of social reputation in Upper Canada, a colonial, and growing country, which in many cases, lead to a duel.</w:t>
      </w:r>
    </w:p>
    <w:p w14:paraId="25EA0236" w14:textId="77777777" w:rsidR="001E00C9" w:rsidRDefault="001E00C9" w:rsidP="00D25CEF">
      <w:pPr>
        <w:spacing w:line="480" w:lineRule="auto"/>
        <w:rPr>
          <w:lang w:val="en-CA"/>
        </w:rPr>
      </w:pPr>
      <w:r>
        <w:rPr>
          <w:lang w:val="en-CA"/>
        </w:rPr>
        <w:tab/>
      </w:r>
      <w:r w:rsidR="00FA2C60">
        <w:rPr>
          <w:lang w:val="en-CA"/>
        </w:rPr>
        <w:t>The patriarch can be deemed responsible for the initiati</w:t>
      </w:r>
      <w:r w:rsidR="00886855">
        <w:rPr>
          <w:lang w:val="en-CA"/>
        </w:rPr>
        <w:t>on of duels because of the masculine “code” of defending his honour as a husband or father.</w:t>
      </w:r>
      <w:r w:rsidR="00886855">
        <w:rPr>
          <w:rStyle w:val="FootnoteReference"/>
          <w:lang w:val="en-CA"/>
        </w:rPr>
        <w:footnoteReference w:id="8"/>
      </w:r>
      <w:r w:rsidR="00886855">
        <w:rPr>
          <w:lang w:val="en-CA"/>
        </w:rPr>
        <w:t xml:space="preserve"> However, t</w:t>
      </w:r>
      <w:r w:rsidR="002A7FF0">
        <w:rPr>
          <w:lang w:val="en-CA"/>
        </w:rPr>
        <w:t xml:space="preserve">he patriarchal code in Upper Canada was </w:t>
      </w:r>
      <w:r w:rsidR="00391ABE">
        <w:rPr>
          <w:lang w:val="en-CA"/>
        </w:rPr>
        <w:t xml:space="preserve">“reshaping” as women’s strengths </w:t>
      </w:r>
      <w:r w:rsidR="001A57A5">
        <w:rPr>
          <w:lang w:val="en-CA"/>
        </w:rPr>
        <w:t>were becoming to be</w:t>
      </w:r>
      <w:r w:rsidR="00391ABE">
        <w:rPr>
          <w:lang w:val="en-CA"/>
        </w:rPr>
        <w:t xml:space="preserve"> recognized</w:t>
      </w:r>
      <w:r w:rsidR="001A57A5">
        <w:rPr>
          <w:lang w:val="en-CA"/>
        </w:rPr>
        <w:t>, which lead to greater oppositions of the duels.</w:t>
      </w:r>
      <w:r w:rsidR="001A57A5">
        <w:rPr>
          <w:rStyle w:val="FootnoteReference"/>
          <w:lang w:val="en-CA"/>
        </w:rPr>
        <w:footnoteReference w:id="9"/>
      </w:r>
      <w:r w:rsidR="002A7FF0">
        <w:rPr>
          <w:lang w:val="en-CA"/>
        </w:rPr>
        <w:t xml:space="preserve"> </w:t>
      </w:r>
      <w:r w:rsidR="001A57A5">
        <w:rPr>
          <w:lang w:val="en-CA"/>
        </w:rPr>
        <w:t>Many men and women were turning their focuses to the significance of their home lives, which the duels indicated possibly leaving a family and a wife without a husband or father, and was over all an unnecessary circumstance.</w:t>
      </w:r>
      <w:r w:rsidR="001A57A5">
        <w:rPr>
          <w:rStyle w:val="FootnoteReference"/>
          <w:lang w:val="en-CA"/>
        </w:rPr>
        <w:footnoteReference w:id="10"/>
      </w:r>
    </w:p>
    <w:p w14:paraId="1D639A13" w14:textId="77777777" w:rsidR="00886855" w:rsidRDefault="00886855" w:rsidP="00D25CEF">
      <w:pPr>
        <w:spacing w:line="480" w:lineRule="auto"/>
        <w:rPr>
          <w:lang w:val="en-CA"/>
        </w:rPr>
      </w:pPr>
      <w:r>
        <w:rPr>
          <w:lang w:val="en-CA"/>
        </w:rPr>
        <w:tab/>
        <w:t>By examining the duel, it “provides us with examples of the ways in which competing nations of masculine honour and virtue were shaped, contested, and reshaped in the colonial context of Upper Canadian society.”</w:t>
      </w:r>
      <w:r>
        <w:rPr>
          <w:rStyle w:val="FootnoteReference"/>
          <w:lang w:val="en-CA"/>
        </w:rPr>
        <w:footnoteReference w:id="11"/>
      </w:r>
      <w:r>
        <w:rPr>
          <w:lang w:val="en-CA"/>
        </w:rPr>
        <w:t xml:space="preserve"> Morgan and Brown bring forth historical records in proving how, and why colonial Upper Canada supported, and eventually opposed the duel.</w:t>
      </w:r>
      <w:bookmarkStart w:id="0" w:name="_GoBack"/>
      <w:bookmarkEnd w:id="0"/>
    </w:p>
    <w:p w14:paraId="111A972F" w14:textId="77777777" w:rsidR="00064B4E" w:rsidRDefault="00064B4E" w:rsidP="00D92153">
      <w:pPr>
        <w:jc w:val="center"/>
        <w:rPr>
          <w:lang w:val="en-CA"/>
        </w:rPr>
      </w:pPr>
    </w:p>
    <w:p w14:paraId="4426961A" w14:textId="77777777" w:rsidR="00064B4E" w:rsidRDefault="00064B4E" w:rsidP="00D92153">
      <w:pPr>
        <w:jc w:val="center"/>
        <w:rPr>
          <w:lang w:val="en-CA"/>
        </w:rPr>
      </w:pPr>
    </w:p>
    <w:p w14:paraId="17594DD9" w14:textId="77777777" w:rsidR="00064B4E" w:rsidRDefault="00064B4E" w:rsidP="00D92153">
      <w:pPr>
        <w:jc w:val="center"/>
        <w:rPr>
          <w:lang w:val="en-CA"/>
        </w:rPr>
      </w:pPr>
    </w:p>
    <w:p w14:paraId="580C2E9C" w14:textId="77777777" w:rsidR="00064B4E" w:rsidRDefault="00064B4E" w:rsidP="00D92153">
      <w:pPr>
        <w:jc w:val="center"/>
        <w:rPr>
          <w:lang w:val="en-CA"/>
        </w:rPr>
      </w:pPr>
    </w:p>
    <w:p w14:paraId="6664FA06" w14:textId="77777777" w:rsidR="00064B4E" w:rsidRDefault="00064B4E" w:rsidP="00D92153">
      <w:pPr>
        <w:jc w:val="center"/>
        <w:rPr>
          <w:lang w:val="en-CA"/>
        </w:rPr>
      </w:pPr>
    </w:p>
    <w:p w14:paraId="4AD8B2D6" w14:textId="77777777" w:rsidR="00064B4E" w:rsidRDefault="00064B4E" w:rsidP="00D92153">
      <w:pPr>
        <w:jc w:val="center"/>
        <w:rPr>
          <w:lang w:val="en-CA"/>
        </w:rPr>
      </w:pPr>
    </w:p>
    <w:p w14:paraId="7651A2D7" w14:textId="77777777" w:rsidR="00064B4E" w:rsidRDefault="00064B4E" w:rsidP="00D92153">
      <w:pPr>
        <w:jc w:val="center"/>
        <w:rPr>
          <w:lang w:val="en-CA"/>
        </w:rPr>
      </w:pPr>
    </w:p>
    <w:p w14:paraId="34E10FE9" w14:textId="77777777" w:rsidR="00064B4E" w:rsidRDefault="00064B4E" w:rsidP="00D92153">
      <w:pPr>
        <w:jc w:val="center"/>
        <w:rPr>
          <w:lang w:val="en-CA"/>
        </w:rPr>
      </w:pPr>
    </w:p>
    <w:p w14:paraId="392C3696" w14:textId="77777777" w:rsidR="00064B4E" w:rsidRDefault="00064B4E" w:rsidP="00D92153">
      <w:pPr>
        <w:jc w:val="center"/>
        <w:rPr>
          <w:lang w:val="en-CA"/>
        </w:rPr>
      </w:pPr>
    </w:p>
    <w:p w14:paraId="7036E345" w14:textId="77777777" w:rsidR="00064B4E" w:rsidRDefault="00064B4E" w:rsidP="00D92153">
      <w:pPr>
        <w:jc w:val="center"/>
        <w:rPr>
          <w:lang w:val="en-CA"/>
        </w:rPr>
      </w:pPr>
    </w:p>
    <w:p w14:paraId="04B9B28D" w14:textId="77777777" w:rsidR="00064B4E" w:rsidRDefault="00064B4E" w:rsidP="00D92153">
      <w:pPr>
        <w:jc w:val="center"/>
        <w:rPr>
          <w:lang w:val="en-CA"/>
        </w:rPr>
      </w:pPr>
    </w:p>
    <w:p w14:paraId="63036EA9" w14:textId="77777777" w:rsidR="00064B4E" w:rsidRDefault="00064B4E" w:rsidP="00D92153">
      <w:pPr>
        <w:jc w:val="center"/>
        <w:rPr>
          <w:lang w:val="en-CA"/>
        </w:rPr>
      </w:pPr>
    </w:p>
    <w:p w14:paraId="15B94661" w14:textId="77777777" w:rsidR="00064B4E" w:rsidRDefault="00064B4E" w:rsidP="00D92153">
      <w:pPr>
        <w:jc w:val="center"/>
        <w:rPr>
          <w:lang w:val="en-CA"/>
        </w:rPr>
      </w:pPr>
    </w:p>
    <w:p w14:paraId="7FCDA9D0" w14:textId="77777777" w:rsidR="00064B4E" w:rsidRDefault="00064B4E" w:rsidP="00D92153">
      <w:pPr>
        <w:jc w:val="center"/>
        <w:rPr>
          <w:lang w:val="en-CA"/>
        </w:rPr>
      </w:pPr>
    </w:p>
    <w:p w14:paraId="0FF881B5" w14:textId="77777777" w:rsidR="00064B4E" w:rsidRDefault="00064B4E" w:rsidP="00D92153">
      <w:pPr>
        <w:jc w:val="center"/>
        <w:rPr>
          <w:lang w:val="en-CA"/>
        </w:rPr>
      </w:pPr>
    </w:p>
    <w:p w14:paraId="4B94BB05" w14:textId="77777777" w:rsidR="00064B4E" w:rsidRDefault="00064B4E" w:rsidP="00D92153">
      <w:pPr>
        <w:jc w:val="center"/>
        <w:rPr>
          <w:lang w:val="en-CA"/>
        </w:rPr>
      </w:pPr>
    </w:p>
    <w:p w14:paraId="23D7867C" w14:textId="77777777" w:rsidR="00064B4E" w:rsidRDefault="00064B4E" w:rsidP="00D92153">
      <w:pPr>
        <w:jc w:val="center"/>
        <w:rPr>
          <w:lang w:val="en-CA"/>
        </w:rPr>
      </w:pPr>
    </w:p>
    <w:p w14:paraId="1E4F0A75" w14:textId="77777777" w:rsidR="00064B4E" w:rsidRDefault="00064B4E" w:rsidP="00D92153">
      <w:pPr>
        <w:jc w:val="center"/>
        <w:rPr>
          <w:lang w:val="en-CA"/>
        </w:rPr>
      </w:pPr>
    </w:p>
    <w:p w14:paraId="5950E1F3" w14:textId="77777777" w:rsidR="00064B4E" w:rsidRDefault="00064B4E" w:rsidP="00D92153">
      <w:pPr>
        <w:jc w:val="center"/>
        <w:rPr>
          <w:lang w:val="en-CA"/>
        </w:rPr>
      </w:pPr>
    </w:p>
    <w:p w14:paraId="0EF91101" w14:textId="77777777" w:rsidR="00064B4E" w:rsidRDefault="00064B4E" w:rsidP="00D92153">
      <w:pPr>
        <w:jc w:val="center"/>
        <w:rPr>
          <w:lang w:val="en-CA"/>
        </w:rPr>
      </w:pPr>
    </w:p>
    <w:p w14:paraId="040E1228" w14:textId="77777777" w:rsidR="00064B4E" w:rsidRDefault="00064B4E" w:rsidP="00D92153">
      <w:pPr>
        <w:jc w:val="center"/>
        <w:rPr>
          <w:lang w:val="en-CA"/>
        </w:rPr>
      </w:pPr>
    </w:p>
    <w:p w14:paraId="2ADB4440" w14:textId="77777777" w:rsidR="00064B4E" w:rsidRDefault="00064B4E" w:rsidP="00D92153">
      <w:pPr>
        <w:jc w:val="center"/>
        <w:rPr>
          <w:lang w:val="en-CA"/>
        </w:rPr>
      </w:pPr>
    </w:p>
    <w:p w14:paraId="38D61C2C" w14:textId="77777777" w:rsidR="00064B4E" w:rsidRDefault="00064B4E" w:rsidP="00D92153">
      <w:pPr>
        <w:jc w:val="center"/>
        <w:rPr>
          <w:lang w:val="en-CA"/>
        </w:rPr>
      </w:pPr>
    </w:p>
    <w:p w14:paraId="0903A46C" w14:textId="77777777" w:rsidR="00064B4E" w:rsidRDefault="00064B4E" w:rsidP="00D92153">
      <w:pPr>
        <w:jc w:val="center"/>
        <w:rPr>
          <w:lang w:val="en-CA"/>
        </w:rPr>
      </w:pPr>
    </w:p>
    <w:p w14:paraId="6BC76DF1" w14:textId="77777777" w:rsidR="00064B4E" w:rsidRDefault="00064B4E" w:rsidP="00D92153">
      <w:pPr>
        <w:jc w:val="center"/>
        <w:rPr>
          <w:lang w:val="en-CA"/>
        </w:rPr>
      </w:pPr>
    </w:p>
    <w:p w14:paraId="5CD1A4EB" w14:textId="77777777" w:rsidR="00064B4E" w:rsidRDefault="00064B4E" w:rsidP="00D92153">
      <w:pPr>
        <w:jc w:val="center"/>
        <w:rPr>
          <w:lang w:val="en-CA"/>
        </w:rPr>
      </w:pPr>
    </w:p>
    <w:p w14:paraId="71B0BAA3" w14:textId="77777777" w:rsidR="00064B4E" w:rsidRDefault="00064B4E" w:rsidP="00D92153">
      <w:pPr>
        <w:jc w:val="center"/>
        <w:rPr>
          <w:lang w:val="en-CA"/>
        </w:rPr>
      </w:pPr>
    </w:p>
    <w:p w14:paraId="23F4F54E" w14:textId="77777777" w:rsidR="00064B4E" w:rsidRDefault="00064B4E" w:rsidP="00D92153">
      <w:pPr>
        <w:jc w:val="center"/>
        <w:rPr>
          <w:lang w:val="en-CA"/>
        </w:rPr>
      </w:pPr>
    </w:p>
    <w:p w14:paraId="07736F01" w14:textId="77777777" w:rsidR="00064B4E" w:rsidRDefault="00064B4E" w:rsidP="00D92153">
      <w:pPr>
        <w:jc w:val="center"/>
        <w:rPr>
          <w:lang w:val="en-CA"/>
        </w:rPr>
      </w:pPr>
    </w:p>
    <w:p w14:paraId="72763FA5" w14:textId="77777777" w:rsidR="00064B4E" w:rsidRDefault="00064B4E" w:rsidP="00D92153">
      <w:pPr>
        <w:jc w:val="center"/>
        <w:rPr>
          <w:lang w:val="en-CA"/>
        </w:rPr>
      </w:pPr>
    </w:p>
    <w:p w14:paraId="3D748551" w14:textId="77777777" w:rsidR="00064B4E" w:rsidRDefault="00064B4E" w:rsidP="00D92153">
      <w:pPr>
        <w:jc w:val="center"/>
        <w:rPr>
          <w:lang w:val="en-CA"/>
        </w:rPr>
      </w:pPr>
    </w:p>
    <w:p w14:paraId="3A2B4F51" w14:textId="77777777" w:rsidR="00064B4E" w:rsidRDefault="00064B4E" w:rsidP="00D92153">
      <w:pPr>
        <w:jc w:val="center"/>
        <w:rPr>
          <w:lang w:val="en-CA"/>
        </w:rPr>
      </w:pPr>
    </w:p>
    <w:p w14:paraId="2A8E9691" w14:textId="77777777" w:rsidR="00064B4E" w:rsidRDefault="00064B4E" w:rsidP="00D92153">
      <w:pPr>
        <w:jc w:val="center"/>
        <w:rPr>
          <w:lang w:val="en-CA"/>
        </w:rPr>
      </w:pPr>
    </w:p>
    <w:p w14:paraId="3B32FEBC" w14:textId="77777777" w:rsidR="00064B4E" w:rsidRDefault="00064B4E" w:rsidP="00D92153">
      <w:pPr>
        <w:jc w:val="center"/>
        <w:rPr>
          <w:lang w:val="en-CA"/>
        </w:rPr>
      </w:pPr>
    </w:p>
    <w:p w14:paraId="2E6345C5" w14:textId="77777777" w:rsidR="00D92153" w:rsidRDefault="00D92153" w:rsidP="00D92153">
      <w:pPr>
        <w:rPr>
          <w:lang w:val="en-CA"/>
        </w:rPr>
      </w:pPr>
    </w:p>
    <w:p w14:paraId="31785761" w14:textId="77777777" w:rsidR="00D92153" w:rsidRPr="00D92153" w:rsidRDefault="00D92153" w:rsidP="00D92153">
      <w:pPr>
        <w:rPr>
          <w:lang w:val="en-CA"/>
        </w:rPr>
      </w:pPr>
    </w:p>
    <w:sectPr w:rsidR="00D92153" w:rsidRPr="00D92153" w:rsidSect="00C877A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1CEB6" w14:textId="77777777" w:rsidR="00FB0587" w:rsidRDefault="00FB0587" w:rsidP="00094855">
      <w:r>
        <w:separator/>
      </w:r>
    </w:p>
  </w:endnote>
  <w:endnote w:type="continuationSeparator" w:id="0">
    <w:p w14:paraId="3504C6E3" w14:textId="77777777" w:rsidR="00FB0587" w:rsidRDefault="00FB0587" w:rsidP="0009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56491" w14:textId="77777777" w:rsidR="00FB0587" w:rsidRDefault="00FB0587" w:rsidP="00094855">
      <w:r>
        <w:separator/>
      </w:r>
    </w:p>
  </w:footnote>
  <w:footnote w:type="continuationSeparator" w:id="0">
    <w:p w14:paraId="38D3B1FA" w14:textId="77777777" w:rsidR="00FB0587" w:rsidRDefault="00FB0587" w:rsidP="00094855">
      <w:r>
        <w:continuationSeparator/>
      </w:r>
    </w:p>
  </w:footnote>
  <w:footnote w:id="1">
    <w:p w14:paraId="37AC88FE" w14:textId="77777777" w:rsidR="00094855" w:rsidRPr="00094855" w:rsidRDefault="00094855" w:rsidP="003466BF">
      <w:pPr>
        <w:rPr>
          <w:lang w:val="en-CA"/>
        </w:rPr>
      </w:pPr>
      <w:r>
        <w:rPr>
          <w:rStyle w:val="FootnoteReference"/>
        </w:rPr>
        <w:footnoteRef/>
      </w:r>
      <w:r>
        <w:t xml:space="preserve"> </w:t>
      </w:r>
      <w:r>
        <w:rPr>
          <w:lang w:val="en-CA"/>
        </w:rPr>
        <w:t xml:space="preserve">Cecilia Morgan, “In Search of the Phantom Misnamed Honour’: Duelling in Upper Canada”, </w:t>
      </w:r>
      <w:r>
        <w:rPr>
          <w:i/>
          <w:lang w:val="en-CA"/>
        </w:rPr>
        <w:t xml:space="preserve">The Canadian Historical Review </w:t>
      </w:r>
      <w:r>
        <w:rPr>
          <w:lang w:val="en-CA"/>
        </w:rPr>
        <w:t>76, no.4 (Dec. 1995):</w:t>
      </w:r>
      <w:r>
        <w:rPr>
          <w:lang w:val="en-CA"/>
        </w:rPr>
        <w:t xml:space="preserve"> 531.</w:t>
      </w:r>
    </w:p>
  </w:footnote>
  <w:footnote w:id="2">
    <w:p w14:paraId="711042D3" w14:textId="77777777" w:rsidR="00457A92" w:rsidRPr="00457A92" w:rsidRDefault="00457A92">
      <w:pPr>
        <w:pStyle w:val="FootnoteText"/>
        <w:rPr>
          <w:lang w:val="en-CA"/>
        </w:rPr>
      </w:pPr>
      <w:r>
        <w:rPr>
          <w:rStyle w:val="FootnoteReference"/>
        </w:rPr>
        <w:footnoteRef/>
      </w:r>
      <w:r>
        <w:t xml:space="preserve"> </w:t>
      </w:r>
      <w:r>
        <w:rPr>
          <w:i/>
          <w:lang w:val="en-CA"/>
        </w:rPr>
        <w:t xml:space="preserve">Ibid., </w:t>
      </w:r>
      <w:r>
        <w:rPr>
          <w:lang w:val="en-CA"/>
        </w:rPr>
        <w:t>538, 546.</w:t>
      </w:r>
    </w:p>
  </w:footnote>
  <w:footnote w:id="3">
    <w:p w14:paraId="17E08E98" w14:textId="77777777" w:rsidR="003466BF" w:rsidRPr="003466BF" w:rsidRDefault="003466BF">
      <w:pPr>
        <w:pStyle w:val="FootnoteText"/>
        <w:rPr>
          <w:lang w:val="en-CA"/>
        </w:rPr>
      </w:pPr>
      <w:r>
        <w:rPr>
          <w:rStyle w:val="FootnoteReference"/>
        </w:rPr>
        <w:footnoteRef/>
      </w:r>
      <w:r>
        <w:t xml:space="preserve"> </w:t>
      </w:r>
      <w:r>
        <w:rPr>
          <w:i/>
        </w:rPr>
        <w:t xml:space="preserve">Ibid., </w:t>
      </w:r>
      <w:r>
        <w:t>536-537.</w:t>
      </w:r>
    </w:p>
  </w:footnote>
  <w:footnote w:id="4">
    <w:p w14:paraId="1CCB0D1A" w14:textId="77777777" w:rsidR="00C928FF" w:rsidRPr="00C928FF" w:rsidRDefault="00C928FF">
      <w:pPr>
        <w:pStyle w:val="FootnoteText"/>
        <w:rPr>
          <w:lang w:val="en-CA"/>
        </w:rPr>
      </w:pPr>
      <w:r>
        <w:rPr>
          <w:rStyle w:val="FootnoteReference"/>
        </w:rPr>
        <w:footnoteRef/>
      </w:r>
      <w:r>
        <w:t xml:space="preserve"> </w:t>
      </w:r>
      <w:r>
        <w:rPr>
          <w:lang w:val="en-CA"/>
        </w:rPr>
        <w:t xml:space="preserve">Stephen R. Brown, “Pistols at Six O’clock”, </w:t>
      </w:r>
      <w:r>
        <w:rPr>
          <w:i/>
          <w:lang w:val="en-CA"/>
        </w:rPr>
        <w:t>Beaver</w:t>
      </w:r>
      <w:r>
        <w:rPr>
          <w:lang w:val="en-CA"/>
        </w:rPr>
        <w:t xml:space="preserve"> 79, no. 4 (Aug./Sept. 1999):</w:t>
      </w:r>
      <w:r>
        <w:rPr>
          <w:lang w:val="en-CA"/>
        </w:rPr>
        <w:t xml:space="preserve"> 1-7.</w:t>
      </w:r>
    </w:p>
  </w:footnote>
  <w:footnote w:id="5">
    <w:p w14:paraId="34C2548B" w14:textId="77777777" w:rsidR="00C928FF" w:rsidRPr="001E00C9" w:rsidRDefault="00C928FF">
      <w:pPr>
        <w:pStyle w:val="FootnoteText"/>
        <w:rPr>
          <w:lang w:val="en-CA"/>
        </w:rPr>
      </w:pPr>
      <w:r>
        <w:rPr>
          <w:rStyle w:val="FootnoteReference"/>
        </w:rPr>
        <w:footnoteRef/>
      </w:r>
      <w:r>
        <w:t xml:space="preserve"> </w:t>
      </w:r>
      <w:r w:rsidR="001E00C9">
        <w:rPr>
          <w:i/>
        </w:rPr>
        <w:t xml:space="preserve">Ibid., </w:t>
      </w:r>
      <w:r w:rsidR="001E00C9">
        <w:t>1-7.</w:t>
      </w:r>
    </w:p>
  </w:footnote>
  <w:footnote w:id="6">
    <w:p w14:paraId="1E3237E2" w14:textId="77777777" w:rsidR="001E00C9" w:rsidRPr="001E00C9" w:rsidRDefault="001E00C9">
      <w:pPr>
        <w:pStyle w:val="FootnoteText"/>
        <w:rPr>
          <w:lang w:val="en-CA"/>
        </w:rPr>
      </w:pPr>
      <w:r>
        <w:rPr>
          <w:rStyle w:val="FootnoteReference"/>
        </w:rPr>
        <w:footnoteRef/>
      </w:r>
      <w:r>
        <w:t xml:space="preserve"> </w:t>
      </w:r>
      <w:r>
        <w:rPr>
          <w:i/>
        </w:rPr>
        <w:t xml:space="preserve">Ibid., </w:t>
      </w:r>
      <w:r>
        <w:t>2.</w:t>
      </w:r>
    </w:p>
  </w:footnote>
  <w:footnote w:id="7">
    <w:p w14:paraId="07969559" w14:textId="77777777" w:rsidR="001E00C9" w:rsidRPr="001E00C9" w:rsidRDefault="001E00C9">
      <w:pPr>
        <w:pStyle w:val="FootnoteText"/>
        <w:rPr>
          <w:i/>
          <w:lang w:val="en-CA"/>
        </w:rPr>
      </w:pPr>
      <w:r>
        <w:rPr>
          <w:rStyle w:val="FootnoteReference"/>
        </w:rPr>
        <w:footnoteRef/>
      </w:r>
      <w:r>
        <w:t xml:space="preserve"> </w:t>
      </w:r>
      <w:r>
        <w:rPr>
          <w:i/>
          <w:lang w:val="en-CA"/>
        </w:rPr>
        <w:t>Ibid.</w:t>
      </w:r>
    </w:p>
  </w:footnote>
  <w:footnote w:id="8">
    <w:p w14:paraId="36EC2C4F" w14:textId="77777777" w:rsidR="00886855" w:rsidRPr="00886855" w:rsidRDefault="00886855">
      <w:pPr>
        <w:pStyle w:val="FootnoteText"/>
        <w:rPr>
          <w:lang w:val="en-CA"/>
        </w:rPr>
      </w:pPr>
      <w:r>
        <w:rPr>
          <w:rStyle w:val="FootnoteReference"/>
        </w:rPr>
        <w:footnoteRef/>
      </w:r>
      <w:r>
        <w:t xml:space="preserve"> Morgan, 531.</w:t>
      </w:r>
    </w:p>
  </w:footnote>
  <w:footnote w:id="9">
    <w:p w14:paraId="1D6C9649" w14:textId="77777777" w:rsidR="001A57A5" w:rsidRPr="001A57A5" w:rsidRDefault="001A57A5">
      <w:pPr>
        <w:pStyle w:val="FootnoteText"/>
        <w:rPr>
          <w:lang w:val="en-CA"/>
        </w:rPr>
      </w:pPr>
      <w:r>
        <w:rPr>
          <w:rStyle w:val="FootnoteReference"/>
        </w:rPr>
        <w:footnoteRef/>
      </w:r>
      <w:r>
        <w:t xml:space="preserve"> </w:t>
      </w:r>
      <w:r w:rsidR="00886855" w:rsidRPr="00886855">
        <w:rPr>
          <w:i/>
          <w:lang w:val="en-CA"/>
        </w:rPr>
        <w:t>Ibid</w:t>
      </w:r>
      <w:r w:rsidR="00886855">
        <w:rPr>
          <w:lang w:val="en-CA"/>
        </w:rPr>
        <w:t>.,</w:t>
      </w:r>
      <w:r>
        <w:rPr>
          <w:lang w:val="en-CA"/>
        </w:rPr>
        <w:t xml:space="preserve"> 533-534.</w:t>
      </w:r>
    </w:p>
  </w:footnote>
  <w:footnote w:id="10">
    <w:p w14:paraId="69CE4236" w14:textId="77777777" w:rsidR="001A57A5" w:rsidRPr="00FA2C60" w:rsidRDefault="001A57A5">
      <w:pPr>
        <w:pStyle w:val="FootnoteText"/>
        <w:rPr>
          <w:lang w:val="en-CA"/>
        </w:rPr>
      </w:pPr>
      <w:r>
        <w:rPr>
          <w:rStyle w:val="FootnoteReference"/>
        </w:rPr>
        <w:footnoteRef/>
      </w:r>
      <w:r>
        <w:t xml:space="preserve"> </w:t>
      </w:r>
      <w:r>
        <w:rPr>
          <w:i/>
          <w:lang w:val="en-CA"/>
        </w:rPr>
        <w:t xml:space="preserve">Ibid., </w:t>
      </w:r>
      <w:r w:rsidR="00FA2C60">
        <w:rPr>
          <w:lang w:val="en-CA"/>
        </w:rPr>
        <w:t>533, 562.</w:t>
      </w:r>
    </w:p>
  </w:footnote>
  <w:footnote w:id="11">
    <w:p w14:paraId="28CF0DB3" w14:textId="77777777" w:rsidR="00886855" w:rsidRPr="00886855" w:rsidRDefault="00886855">
      <w:pPr>
        <w:pStyle w:val="FootnoteText"/>
        <w:rPr>
          <w:i/>
          <w:lang w:val="en-CA"/>
        </w:rPr>
      </w:pPr>
      <w:r>
        <w:rPr>
          <w:rStyle w:val="FootnoteReference"/>
        </w:rPr>
        <w:footnoteRef/>
      </w:r>
      <w:r>
        <w:t xml:space="preserve"> </w:t>
      </w:r>
      <w:r>
        <w:rPr>
          <w:i/>
        </w:rPr>
        <w:t xml:space="preserve">Ibid., </w:t>
      </w:r>
      <w:r w:rsidRPr="00886855">
        <w:t>531</w:t>
      </w:r>
      <w:r>
        <w:rPr>
          <w: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53"/>
    <w:rsid w:val="00064B4E"/>
    <w:rsid w:val="00094855"/>
    <w:rsid w:val="001A57A5"/>
    <w:rsid w:val="001E00C9"/>
    <w:rsid w:val="002A7FF0"/>
    <w:rsid w:val="003109DE"/>
    <w:rsid w:val="003466BF"/>
    <w:rsid w:val="0037519B"/>
    <w:rsid w:val="00391ABE"/>
    <w:rsid w:val="004218BB"/>
    <w:rsid w:val="00457A92"/>
    <w:rsid w:val="008354DE"/>
    <w:rsid w:val="00886855"/>
    <w:rsid w:val="008E0A78"/>
    <w:rsid w:val="00A2659A"/>
    <w:rsid w:val="00A63FCD"/>
    <w:rsid w:val="00A804A2"/>
    <w:rsid w:val="00AB51C3"/>
    <w:rsid w:val="00B2553A"/>
    <w:rsid w:val="00B3656C"/>
    <w:rsid w:val="00B86260"/>
    <w:rsid w:val="00C877AB"/>
    <w:rsid w:val="00C928FF"/>
    <w:rsid w:val="00CE2597"/>
    <w:rsid w:val="00D25CEF"/>
    <w:rsid w:val="00D92153"/>
    <w:rsid w:val="00EC4D18"/>
    <w:rsid w:val="00FA2C60"/>
    <w:rsid w:val="00FB0587"/>
    <w:rsid w:val="00FE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D569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94855"/>
  </w:style>
  <w:style w:type="character" w:customStyle="1" w:styleId="FootnoteTextChar">
    <w:name w:val="Footnote Text Char"/>
    <w:basedOn w:val="DefaultParagraphFont"/>
    <w:link w:val="FootnoteText"/>
    <w:uiPriority w:val="99"/>
    <w:rsid w:val="00094855"/>
  </w:style>
  <w:style w:type="character" w:styleId="FootnoteReference">
    <w:name w:val="footnote reference"/>
    <w:basedOn w:val="DefaultParagraphFont"/>
    <w:uiPriority w:val="99"/>
    <w:unhideWhenUsed/>
    <w:rsid w:val="000948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C6376BF-410B-BF44-9365-4E6309CB0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446</Words>
  <Characters>2548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josslyn ryan</dc:creator>
  <cp:keywords/>
  <dc:description/>
  <cp:lastModifiedBy>josslyn ryan</cp:lastModifiedBy>
  <cp:revision>1</cp:revision>
  <dcterms:created xsi:type="dcterms:W3CDTF">2018-11-12T23:11:00Z</dcterms:created>
  <dcterms:modified xsi:type="dcterms:W3CDTF">2018-11-13T06:26:00Z</dcterms:modified>
</cp:coreProperties>
</file>