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D055" w14:textId="77777777" w:rsidR="0091731C" w:rsidRDefault="0091731C" w:rsidP="003D485D">
      <w:pPr>
        <w:rPr>
          <w:lang w:val="en-CA"/>
        </w:rPr>
      </w:pPr>
      <w:r>
        <w:rPr>
          <w:lang w:val="en-CA"/>
        </w:rPr>
        <w:t>Josslyn Ryan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Oct. 23, 2018</w:t>
      </w:r>
    </w:p>
    <w:p w14:paraId="0FBBF57E" w14:textId="77777777" w:rsidR="0091731C" w:rsidRDefault="0091731C" w:rsidP="003D485D">
      <w:pPr>
        <w:spacing w:line="360" w:lineRule="auto"/>
        <w:jc w:val="center"/>
        <w:rPr>
          <w:lang w:val="en-CA"/>
        </w:rPr>
      </w:pPr>
      <w:r>
        <w:rPr>
          <w:lang w:val="en-CA"/>
        </w:rPr>
        <w:t>Reading Log #6</w:t>
      </w:r>
    </w:p>
    <w:p w14:paraId="38C5A77C" w14:textId="77777777" w:rsidR="0091731C" w:rsidRDefault="0091731C" w:rsidP="003D485D">
      <w:pPr>
        <w:spacing w:line="360" w:lineRule="auto"/>
        <w:jc w:val="center"/>
        <w:rPr>
          <w:u w:val="single"/>
          <w:lang w:val="en-CA"/>
        </w:rPr>
      </w:pPr>
      <w:r w:rsidRPr="0091731C">
        <w:rPr>
          <w:u w:val="single"/>
          <w:lang w:val="en-CA"/>
        </w:rPr>
        <w:t xml:space="preserve">Mica Jorgenson, Thomas Thorner, and </w:t>
      </w:r>
      <w:r w:rsidRPr="0091731C">
        <w:rPr>
          <w:u w:val="single"/>
          <w:lang w:val="en-CA"/>
        </w:rPr>
        <w:t>Thor Frohn-Nielsen</w:t>
      </w:r>
      <w:r w:rsidRPr="0091731C">
        <w:rPr>
          <w:u w:val="single"/>
          <w:lang w:val="en-CA"/>
        </w:rPr>
        <w:t xml:space="preserve"> on the Gold Rush</w:t>
      </w:r>
    </w:p>
    <w:p w14:paraId="11B7092E" w14:textId="77777777" w:rsidR="00800795" w:rsidRDefault="004F757A" w:rsidP="00800795">
      <w:pPr>
        <w:spacing w:line="480" w:lineRule="auto"/>
        <w:rPr>
          <w:lang w:val="en-CA"/>
        </w:rPr>
      </w:pPr>
      <w:r>
        <w:rPr>
          <w:lang w:val="en-CA"/>
        </w:rPr>
        <w:tab/>
        <w:t>Full of false hopes and riches, the gold rush was a significant period in British Columbia’s history.</w:t>
      </w:r>
      <w:r w:rsidR="00990274">
        <w:rPr>
          <w:lang w:val="en-CA"/>
        </w:rPr>
        <w:t xml:space="preserve"> Thomas Thorner, Thor Frohn-Nielsen, and Mica Jorgenson give us insight to the </w:t>
      </w:r>
      <w:r w:rsidR="00BC7F86">
        <w:rPr>
          <w:lang w:val="en-CA"/>
        </w:rPr>
        <w:t>harsh</w:t>
      </w:r>
      <w:r w:rsidR="00C9736D">
        <w:rPr>
          <w:lang w:val="en-CA"/>
        </w:rPr>
        <w:t xml:space="preserve"> realities that unfolded before</w:t>
      </w:r>
      <w:r w:rsidR="00BC7F86">
        <w:rPr>
          <w:lang w:val="en-CA"/>
        </w:rPr>
        <w:t xml:space="preserve"> </w:t>
      </w:r>
      <w:r w:rsidR="00C9736D">
        <w:rPr>
          <w:lang w:val="en-CA"/>
        </w:rPr>
        <w:t>prospectors’</w:t>
      </w:r>
      <w:r w:rsidR="00BC7F86">
        <w:rPr>
          <w:lang w:val="en-CA"/>
        </w:rPr>
        <w:t xml:space="preserve"> eyes, </w:t>
      </w:r>
      <w:r w:rsidR="009835F4">
        <w:rPr>
          <w:lang w:val="en-CA"/>
        </w:rPr>
        <w:t xml:space="preserve">the social aspect that the rush had brought to British Columbia, </w:t>
      </w:r>
      <w:r w:rsidR="00BC7F86">
        <w:rPr>
          <w:lang w:val="en-CA"/>
        </w:rPr>
        <w:t>a</w:t>
      </w:r>
      <w:r w:rsidR="00BC0B7A">
        <w:rPr>
          <w:lang w:val="en-CA"/>
        </w:rPr>
        <w:t>s well as</w:t>
      </w:r>
      <w:r w:rsidR="00BC7F86">
        <w:rPr>
          <w:lang w:val="en-CA"/>
        </w:rPr>
        <w:t xml:space="preserve"> the </w:t>
      </w:r>
      <w:r w:rsidR="00E50154">
        <w:rPr>
          <w:lang w:val="en-CA"/>
        </w:rPr>
        <w:t xml:space="preserve">diverse groups of people </w:t>
      </w:r>
      <w:r w:rsidR="009835F4">
        <w:rPr>
          <w:lang w:val="en-CA"/>
        </w:rPr>
        <w:t>who</w:t>
      </w:r>
      <w:r w:rsidR="00E50154">
        <w:rPr>
          <w:lang w:val="en-CA"/>
        </w:rPr>
        <w:t xml:space="preserve"> held significant roles during the gold frenzy.</w:t>
      </w:r>
      <w:r w:rsidR="00A962AF">
        <w:rPr>
          <w:lang w:val="en-CA"/>
        </w:rPr>
        <w:t xml:space="preserve"> </w:t>
      </w:r>
    </w:p>
    <w:p w14:paraId="35E7E7FA" w14:textId="77777777" w:rsidR="009835F4" w:rsidRDefault="009A2170" w:rsidP="00800795">
      <w:pPr>
        <w:spacing w:line="480" w:lineRule="auto"/>
        <w:rPr>
          <w:lang w:val="en-CA"/>
        </w:rPr>
      </w:pPr>
      <w:r>
        <w:rPr>
          <w:lang w:val="en-CA"/>
        </w:rPr>
        <w:tab/>
      </w:r>
      <w:r w:rsidR="00C9736D">
        <w:rPr>
          <w:lang w:val="en-CA"/>
        </w:rPr>
        <w:t>B</w:t>
      </w:r>
      <w:r w:rsidR="00C9736D">
        <w:rPr>
          <w:lang w:val="en-CA"/>
        </w:rPr>
        <w:t>ecause of rigid topography, and trying terrains</w:t>
      </w:r>
      <w:r w:rsidR="00C9736D">
        <w:rPr>
          <w:lang w:val="en-CA"/>
        </w:rPr>
        <w:t xml:space="preserve">, </w:t>
      </w:r>
      <w:r>
        <w:rPr>
          <w:lang w:val="en-CA"/>
        </w:rPr>
        <w:t>British Columbia was</w:t>
      </w:r>
      <w:r w:rsidR="009835F4">
        <w:rPr>
          <w:lang w:val="en-CA"/>
        </w:rPr>
        <w:t xml:space="preserve"> very difficult</w:t>
      </w:r>
      <w:r w:rsidR="003D6DD5">
        <w:rPr>
          <w:lang w:val="en-CA"/>
        </w:rPr>
        <w:t xml:space="preserve"> to navigate,</w:t>
      </w:r>
      <w:r w:rsidR="009835F4">
        <w:rPr>
          <w:lang w:val="en-CA"/>
        </w:rPr>
        <w:t xml:space="preserve"> </w:t>
      </w:r>
      <w:r w:rsidR="00ED5C43">
        <w:rPr>
          <w:lang w:val="en-CA"/>
        </w:rPr>
        <w:t>and in s</w:t>
      </w:r>
      <w:r w:rsidR="003D6DD5">
        <w:rPr>
          <w:lang w:val="en-CA"/>
        </w:rPr>
        <w:t>ome cases, fatal</w:t>
      </w:r>
      <w:r w:rsidR="004D42B0">
        <w:rPr>
          <w:lang w:val="en-CA"/>
        </w:rPr>
        <w:t xml:space="preserve">; however, </w:t>
      </w:r>
      <w:r w:rsidR="00F6131B">
        <w:rPr>
          <w:lang w:val="en-CA"/>
        </w:rPr>
        <w:t>many thought that there were promising riches on the other side to make up for it.</w:t>
      </w:r>
      <w:r w:rsidR="00F6131B">
        <w:rPr>
          <w:rStyle w:val="FootnoteReference"/>
          <w:lang w:val="en-CA"/>
        </w:rPr>
        <w:footnoteReference w:id="1"/>
      </w:r>
      <w:r w:rsidR="004D42B0">
        <w:rPr>
          <w:lang w:val="en-CA"/>
        </w:rPr>
        <w:t xml:space="preserve"> </w:t>
      </w:r>
      <w:r w:rsidR="00ED5C43">
        <w:rPr>
          <w:lang w:val="en-CA"/>
        </w:rPr>
        <w:t>The preceding successful gold rush in California gave men assurance of striking gold in British Columbia, however</w:t>
      </w:r>
      <w:r w:rsidR="00C9736D">
        <w:rPr>
          <w:lang w:val="en-CA"/>
        </w:rPr>
        <w:t>,</w:t>
      </w:r>
      <w:r w:rsidR="00ED5C43">
        <w:rPr>
          <w:lang w:val="en-CA"/>
        </w:rPr>
        <w:t xml:space="preserve"> these were false pretenses as gold was much more difficult to find and extract in British Columbia.</w:t>
      </w:r>
      <w:r w:rsidR="00F267BB">
        <w:rPr>
          <w:rStyle w:val="FootnoteReference"/>
          <w:lang w:val="en-CA"/>
        </w:rPr>
        <w:footnoteReference w:id="2"/>
      </w:r>
      <w:r w:rsidR="00ED5C43">
        <w:rPr>
          <w:lang w:val="en-CA"/>
        </w:rPr>
        <w:t xml:space="preserve"> </w:t>
      </w:r>
      <w:r w:rsidR="00BF6083">
        <w:rPr>
          <w:lang w:val="en-CA"/>
        </w:rPr>
        <w:t>C. Gardiner and Charles Major experienced the realities of the gold rush themselves and they both advised, through their writing, for men to stay at home and not follow after the</w:t>
      </w:r>
      <w:r w:rsidR="00E96105">
        <w:rPr>
          <w:lang w:val="en-CA"/>
        </w:rPr>
        <w:t xml:space="preserve"> </w:t>
      </w:r>
      <w:r w:rsidR="00ED5C43">
        <w:rPr>
          <w:lang w:val="en-CA"/>
        </w:rPr>
        <w:t>craze of gold mining in the Fraser River.</w:t>
      </w:r>
      <w:r w:rsidR="00ED5C43">
        <w:rPr>
          <w:rStyle w:val="FootnoteReference"/>
          <w:lang w:val="en-CA"/>
        </w:rPr>
        <w:footnoteReference w:id="3"/>
      </w:r>
      <w:r w:rsidR="00ED5C43">
        <w:rPr>
          <w:lang w:val="en-CA"/>
        </w:rPr>
        <w:t xml:space="preserve"> </w:t>
      </w:r>
      <w:r w:rsidR="00C9736D">
        <w:rPr>
          <w:lang w:val="en-CA"/>
        </w:rPr>
        <w:t>Thorner and Frohn-Nielsen go on to say that “British Columbia indeed offered too few rewards for too much effort”, which captures the very essence of the gold rush.</w:t>
      </w:r>
      <w:r w:rsidR="00C9736D">
        <w:rPr>
          <w:rStyle w:val="FootnoteReference"/>
          <w:lang w:val="en-CA"/>
        </w:rPr>
        <w:footnoteReference w:id="4"/>
      </w:r>
    </w:p>
    <w:p w14:paraId="1CBB397D" w14:textId="77777777" w:rsidR="0093271F" w:rsidRDefault="00A82B63" w:rsidP="00A82B63">
      <w:pPr>
        <w:spacing w:line="480" w:lineRule="auto"/>
        <w:ind w:firstLine="720"/>
        <w:rPr>
          <w:lang w:val="en-CA"/>
        </w:rPr>
      </w:pPr>
      <w:r>
        <w:rPr>
          <w:lang w:val="en-CA"/>
        </w:rPr>
        <w:t xml:space="preserve">Throughout Canadian history, Europeans were the leading settlers of the land, but as the gold rush broke out, people from different cultures, careers, and race found themselves in </w:t>
      </w:r>
      <w:r>
        <w:rPr>
          <w:lang w:val="en-CA"/>
        </w:rPr>
        <w:lastRenderedPageBreak/>
        <w:t>Victoria to become involved in this new “profitable” country.</w:t>
      </w:r>
      <w:r>
        <w:rPr>
          <w:rStyle w:val="FootnoteReference"/>
          <w:lang w:val="en-CA"/>
        </w:rPr>
        <w:footnoteReference w:id="5"/>
      </w:r>
      <w:r w:rsidR="00B67770">
        <w:rPr>
          <w:lang w:val="en-CA"/>
        </w:rPr>
        <w:t xml:space="preserve"> Chinese, African-American, and Indigenous people</w:t>
      </w:r>
      <w:r w:rsidR="00BC0B7A">
        <w:rPr>
          <w:lang w:val="en-CA"/>
        </w:rPr>
        <w:t>s</w:t>
      </w:r>
      <w:r w:rsidR="00B67770">
        <w:rPr>
          <w:lang w:val="en-CA"/>
        </w:rPr>
        <w:t xml:space="preserve"> were active</w:t>
      </w:r>
      <w:r w:rsidR="003D6DD5">
        <w:rPr>
          <w:lang w:val="en-CA"/>
        </w:rPr>
        <w:t xml:space="preserve"> </w:t>
      </w:r>
      <w:r w:rsidR="00B67770">
        <w:rPr>
          <w:lang w:val="en-CA"/>
        </w:rPr>
        <w:t>in the gold rush in various ways</w:t>
      </w:r>
      <w:r w:rsidR="00BC0B7A">
        <w:rPr>
          <w:lang w:val="en-CA"/>
        </w:rPr>
        <w:t xml:space="preserve"> such as </w:t>
      </w:r>
      <w:r w:rsidR="00B67770">
        <w:rPr>
          <w:lang w:val="en-CA"/>
        </w:rPr>
        <w:t>directly mining, or taking on jobs in the settlements and Victoria.</w:t>
      </w:r>
      <w:r w:rsidR="00B67770">
        <w:rPr>
          <w:rStyle w:val="FootnoteReference"/>
          <w:lang w:val="en-CA"/>
        </w:rPr>
        <w:footnoteReference w:id="6"/>
      </w:r>
      <w:r w:rsidR="008E759A">
        <w:rPr>
          <w:lang w:val="en-CA"/>
        </w:rPr>
        <w:t xml:space="preserve"> This intermixing of people created</w:t>
      </w:r>
      <w:r w:rsidR="00BC0B7A">
        <w:rPr>
          <w:lang w:val="en-CA"/>
        </w:rPr>
        <w:t xml:space="preserve"> the</w:t>
      </w:r>
      <w:r w:rsidR="008E759A">
        <w:rPr>
          <w:lang w:val="en-CA"/>
        </w:rPr>
        <w:t xml:space="preserve"> advancement in development of the nation.</w:t>
      </w:r>
      <w:r w:rsidR="008E759A">
        <w:rPr>
          <w:rStyle w:val="FootnoteReference"/>
          <w:lang w:val="en-CA"/>
        </w:rPr>
        <w:footnoteReference w:id="7"/>
      </w:r>
      <w:r w:rsidR="008E759A">
        <w:rPr>
          <w:lang w:val="en-CA"/>
        </w:rPr>
        <w:t xml:space="preserve"> </w:t>
      </w:r>
    </w:p>
    <w:p w14:paraId="559937D1" w14:textId="77777777" w:rsidR="008E759A" w:rsidRDefault="008E759A" w:rsidP="00A82B63">
      <w:pPr>
        <w:spacing w:line="480" w:lineRule="auto"/>
        <w:ind w:firstLine="720"/>
        <w:rPr>
          <w:lang w:val="en-CA"/>
        </w:rPr>
      </w:pPr>
      <w:r>
        <w:rPr>
          <w:lang w:val="en-CA"/>
        </w:rPr>
        <w:t xml:space="preserve">Jorgenson’s article </w:t>
      </w:r>
      <w:r w:rsidR="002A598C">
        <w:rPr>
          <w:lang w:val="en-CA"/>
        </w:rPr>
        <w:t xml:space="preserve">addresses </w:t>
      </w:r>
      <w:r w:rsidR="008778D5">
        <w:rPr>
          <w:lang w:val="en-CA"/>
        </w:rPr>
        <w:t xml:space="preserve">the </w:t>
      </w:r>
      <w:r w:rsidR="003B303B">
        <w:rPr>
          <w:lang w:val="en-CA"/>
        </w:rPr>
        <w:t xml:space="preserve">issue of </w:t>
      </w:r>
      <w:r w:rsidR="009B454A">
        <w:rPr>
          <w:lang w:val="en-CA"/>
        </w:rPr>
        <w:t xml:space="preserve">Indigenous peoples </w:t>
      </w:r>
      <w:r w:rsidR="0022359F">
        <w:rPr>
          <w:lang w:val="en-CA"/>
        </w:rPr>
        <w:t>being historically known to not have a significant role in the gold rush</w:t>
      </w:r>
      <w:r w:rsidR="00E0700E">
        <w:rPr>
          <w:lang w:val="en-CA"/>
        </w:rPr>
        <w:t xml:space="preserve">, which by reading this article, </w:t>
      </w:r>
      <w:r w:rsidR="003D6DD5">
        <w:rPr>
          <w:lang w:val="en-CA"/>
        </w:rPr>
        <w:t xml:space="preserve">we </w:t>
      </w:r>
      <w:r w:rsidR="00E0700E">
        <w:rPr>
          <w:lang w:val="en-CA"/>
        </w:rPr>
        <w:t>can understand that this is a myth</w:t>
      </w:r>
      <w:r w:rsidR="0022359F">
        <w:rPr>
          <w:lang w:val="en-CA"/>
        </w:rPr>
        <w:t>.</w:t>
      </w:r>
      <w:r w:rsidR="0022359F">
        <w:rPr>
          <w:rStyle w:val="FootnoteReference"/>
          <w:lang w:val="en-CA"/>
        </w:rPr>
        <w:footnoteReference w:id="8"/>
      </w:r>
      <w:r w:rsidR="00A61FDF">
        <w:rPr>
          <w:lang w:val="en-CA"/>
        </w:rPr>
        <w:t xml:space="preserve"> </w:t>
      </w:r>
      <w:r w:rsidR="00B2078C">
        <w:rPr>
          <w:lang w:val="en-CA"/>
        </w:rPr>
        <w:t>The region in which Barkerville, the largest mining settlement in British Columbia, is located, is Dakelh territory, who’s people actively participated in the gold rush.</w:t>
      </w:r>
      <w:r w:rsidR="00B2078C">
        <w:rPr>
          <w:rStyle w:val="FootnoteReference"/>
          <w:lang w:val="en-CA"/>
        </w:rPr>
        <w:footnoteReference w:id="9"/>
      </w:r>
      <w:r w:rsidR="00B2078C">
        <w:rPr>
          <w:lang w:val="en-CA"/>
        </w:rPr>
        <w:t xml:space="preserve"> The Dakelh, </w:t>
      </w:r>
      <w:r w:rsidR="00D21B23">
        <w:rPr>
          <w:lang w:val="en-CA"/>
        </w:rPr>
        <w:t>St’at’imc, Tcilhqot’in, Haida, and the Coastal Salish, travelled to Barkerville during the summer months to take advantage of the seasonal berry picking and gold mining activities; which included selling salmon, laundry services, horse packing, hunting, letter carrying,</w:t>
      </w:r>
      <w:r w:rsidR="00FA2E50">
        <w:rPr>
          <w:lang w:val="en-CA"/>
        </w:rPr>
        <w:t xml:space="preserve"> mining,</w:t>
      </w:r>
      <w:r w:rsidR="00D21B23">
        <w:rPr>
          <w:lang w:val="en-CA"/>
        </w:rPr>
        <w:t xml:space="preserve"> </w:t>
      </w:r>
      <w:r w:rsidR="003D485D">
        <w:rPr>
          <w:lang w:val="en-CA"/>
        </w:rPr>
        <w:t>and some of the indigenous women were involved in prostitution.</w:t>
      </w:r>
      <w:r w:rsidR="003D485D">
        <w:rPr>
          <w:rStyle w:val="FootnoteReference"/>
          <w:lang w:val="en-CA"/>
        </w:rPr>
        <w:footnoteReference w:id="10"/>
      </w:r>
      <w:r w:rsidR="001A40BE">
        <w:rPr>
          <w:lang w:val="en-CA"/>
        </w:rPr>
        <w:t xml:space="preserve"> Because of the Indigenous peoples knowledge of the land</w:t>
      </w:r>
      <w:r w:rsidR="00525A6E">
        <w:rPr>
          <w:lang w:val="en-CA"/>
        </w:rPr>
        <w:t xml:space="preserve"> and watersheds</w:t>
      </w:r>
      <w:r w:rsidR="001A40BE">
        <w:rPr>
          <w:lang w:val="en-CA"/>
        </w:rPr>
        <w:t>, the gold rush was more efficient because of their participation.</w:t>
      </w:r>
      <w:r w:rsidR="00525A6E">
        <w:rPr>
          <w:rStyle w:val="FootnoteReference"/>
          <w:lang w:val="en-CA"/>
        </w:rPr>
        <w:footnoteReference w:id="11"/>
      </w:r>
    </w:p>
    <w:p w14:paraId="71FF2ABC" w14:textId="77777777" w:rsidR="00E0700E" w:rsidRDefault="0084607E" w:rsidP="00A82B63">
      <w:pPr>
        <w:spacing w:line="480" w:lineRule="auto"/>
        <w:ind w:firstLine="720"/>
        <w:rPr>
          <w:lang w:val="en-CA"/>
        </w:rPr>
      </w:pPr>
      <w:r>
        <w:rPr>
          <w:lang w:val="en-CA"/>
        </w:rPr>
        <w:t>Through</w:t>
      </w:r>
      <w:r w:rsidR="00FA2E50">
        <w:rPr>
          <w:lang w:val="en-CA"/>
        </w:rPr>
        <w:t xml:space="preserve"> the first accounts in Thorner </w:t>
      </w:r>
      <w:r>
        <w:rPr>
          <w:lang w:val="en-CA"/>
        </w:rPr>
        <w:t xml:space="preserve">and </w:t>
      </w:r>
      <w:r w:rsidR="00FA2E50">
        <w:rPr>
          <w:lang w:val="en-CA"/>
        </w:rPr>
        <w:t xml:space="preserve">Frohn-Nielsen’s book, and Jorgenson’s article, </w:t>
      </w:r>
      <w:r>
        <w:rPr>
          <w:lang w:val="en-CA"/>
        </w:rPr>
        <w:t>t</w:t>
      </w:r>
      <w:r>
        <w:rPr>
          <w:lang w:val="en-CA"/>
        </w:rPr>
        <w:t>he gold rush was a time in history that enticed extreme hardships and disappointment for many</w:t>
      </w:r>
      <w:r>
        <w:rPr>
          <w:lang w:val="en-CA"/>
        </w:rPr>
        <w:t xml:space="preserve">, yet greatly impacted the colonization of what we now know as British Columbia. </w:t>
      </w:r>
      <w:r w:rsidR="001A40BE">
        <w:rPr>
          <w:lang w:val="en-CA"/>
        </w:rPr>
        <w:t xml:space="preserve">These documents </w:t>
      </w:r>
      <w:r w:rsidR="000747E9">
        <w:rPr>
          <w:lang w:val="en-CA"/>
        </w:rPr>
        <w:t xml:space="preserve">also </w:t>
      </w:r>
      <w:r w:rsidR="001A40BE">
        <w:rPr>
          <w:lang w:val="en-CA"/>
        </w:rPr>
        <w:t>give light to the economic roles of Indigenous peoples and people of</w:t>
      </w:r>
      <w:r w:rsidR="000747E9">
        <w:rPr>
          <w:lang w:val="en-CA"/>
        </w:rPr>
        <w:t xml:space="preserve"> other races in the gold rush; a topic that has been neglected in historical documents.</w:t>
      </w:r>
      <w:bookmarkStart w:id="0" w:name="_GoBack"/>
      <w:bookmarkEnd w:id="0"/>
    </w:p>
    <w:p w14:paraId="65175805" w14:textId="77777777" w:rsidR="000F0C8E" w:rsidRPr="00800795" w:rsidRDefault="000F0C8E" w:rsidP="00A82B63">
      <w:pPr>
        <w:spacing w:line="480" w:lineRule="auto"/>
        <w:ind w:firstLine="720"/>
        <w:rPr>
          <w:lang w:val="en-CA"/>
        </w:rPr>
      </w:pPr>
    </w:p>
    <w:p w14:paraId="4B989D0B" w14:textId="77777777" w:rsidR="0091731C" w:rsidRDefault="0091731C" w:rsidP="0091731C">
      <w:pPr>
        <w:spacing w:line="480" w:lineRule="auto"/>
        <w:rPr>
          <w:lang w:val="en-CA"/>
        </w:rPr>
      </w:pPr>
    </w:p>
    <w:p w14:paraId="38CD980C" w14:textId="77777777" w:rsidR="0091731C" w:rsidRDefault="0091731C" w:rsidP="0091731C">
      <w:pPr>
        <w:jc w:val="center"/>
        <w:rPr>
          <w:lang w:val="en-CA"/>
        </w:rPr>
      </w:pPr>
    </w:p>
    <w:p w14:paraId="424ED129" w14:textId="77777777" w:rsidR="0091731C" w:rsidRDefault="0091731C">
      <w:pPr>
        <w:rPr>
          <w:lang w:val="en-CA"/>
        </w:rPr>
      </w:pPr>
    </w:p>
    <w:p w14:paraId="64BAF2B3" w14:textId="77777777" w:rsidR="0091731C" w:rsidRDefault="0091731C">
      <w:pPr>
        <w:rPr>
          <w:lang w:val="en-CA"/>
        </w:rPr>
      </w:pPr>
    </w:p>
    <w:p w14:paraId="72FDB0F0" w14:textId="77777777" w:rsidR="0091731C" w:rsidRDefault="0091731C">
      <w:pPr>
        <w:rPr>
          <w:lang w:val="en-CA"/>
        </w:rPr>
      </w:pPr>
    </w:p>
    <w:p w14:paraId="0979E752" w14:textId="77777777" w:rsidR="0091731C" w:rsidRDefault="0091731C">
      <w:pPr>
        <w:rPr>
          <w:lang w:val="en-CA"/>
        </w:rPr>
      </w:pPr>
    </w:p>
    <w:p w14:paraId="24ABD948" w14:textId="77777777" w:rsidR="0091731C" w:rsidRDefault="0091731C">
      <w:pPr>
        <w:rPr>
          <w:lang w:val="en-CA"/>
        </w:rPr>
      </w:pPr>
    </w:p>
    <w:p w14:paraId="6FBB643D" w14:textId="77777777" w:rsidR="0091731C" w:rsidRDefault="0091731C">
      <w:pPr>
        <w:rPr>
          <w:lang w:val="en-CA"/>
        </w:rPr>
      </w:pPr>
    </w:p>
    <w:p w14:paraId="03016423" w14:textId="77777777" w:rsidR="0091731C" w:rsidRDefault="0091731C">
      <w:pPr>
        <w:rPr>
          <w:lang w:val="en-CA"/>
        </w:rPr>
      </w:pPr>
    </w:p>
    <w:p w14:paraId="676B3C73" w14:textId="77777777" w:rsidR="0091731C" w:rsidRDefault="0091731C">
      <w:pPr>
        <w:rPr>
          <w:lang w:val="en-CA"/>
        </w:rPr>
      </w:pPr>
    </w:p>
    <w:p w14:paraId="17FAE84A" w14:textId="77777777" w:rsidR="0091731C" w:rsidRDefault="0091731C">
      <w:pPr>
        <w:rPr>
          <w:lang w:val="en-CA"/>
        </w:rPr>
      </w:pPr>
    </w:p>
    <w:p w14:paraId="0FAE2791" w14:textId="77777777" w:rsidR="0091731C" w:rsidRDefault="0091731C">
      <w:pPr>
        <w:rPr>
          <w:lang w:val="en-CA"/>
        </w:rPr>
      </w:pPr>
    </w:p>
    <w:p w14:paraId="2730A07F" w14:textId="77777777" w:rsidR="0091731C" w:rsidRDefault="0091731C">
      <w:pPr>
        <w:rPr>
          <w:lang w:val="en-CA"/>
        </w:rPr>
      </w:pPr>
    </w:p>
    <w:p w14:paraId="0F89F22B" w14:textId="77777777" w:rsidR="0091731C" w:rsidRDefault="0091731C">
      <w:pPr>
        <w:rPr>
          <w:lang w:val="en-CA"/>
        </w:rPr>
      </w:pPr>
    </w:p>
    <w:p w14:paraId="3A1C20C8" w14:textId="77777777" w:rsidR="0091731C" w:rsidRDefault="0091731C">
      <w:pPr>
        <w:rPr>
          <w:lang w:val="en-CA"/>
        </w:rPr>
      </w:pPr>
    </w:p>
    <w:p w14:paraId="6422653B" w14:textId="77777777" w:rsidR="0091731C" w:rsidRDefault="0091731C">
      <w:pPr>
        <w:rPr>
          <w:lang w:val="en-CA"/>
        </w:rPr>
      </w:pPr>
    </w:p>
    <w:p w14:paraId="16927AB4" w14:textId="77777777" w:rsidR="0091731C" w:rsidRDefault="0091731C">
      <w:pPr>
        <w:rPr>
          <w:lang w:val="en-CA"/>
        </w:rPr>
      </w:pPr>
    </w:p>
    <w:p w14:paraId="0C79FEF2" w14:textId="77777777" w:rsidR="0091731C" w:rsidRDefault="0091731C">
      <w:pPr>
        <w:rPr>
          <w:lang w:val="en-CA"/>
        </w:rPr>
      </w:pPr>
    </w:p>
    <w:p w14:paraId="3F363C31" w14:textId="77777777" w:rsidR="0091731C" w:rsidRDefault="0091731C">
      <w:pPr>
        <w:rPr>
          <w:lang w:val="en-CA"/>
        </w:rPr>
      </w:pPr>
    </w:p>
    <w:p w14:paraId="1EAFF912" w14:textId="77777777" w:rsidR="0091731C" w:rsidRDefault="0091731C">
      <w:pPr>
        <w:rPr>
          <w:lang w:val="en-CA"/>
        </w:rPr>
      </w:pPr>
    </w:p>
    <w:p w14:paraId="5FF2F623" w14:textId="77777777" w:rsidR="0091731C" w:rsidRDefault="0091731C">
      <w:pPr>
        <w:rPr>
          <w:lang w:val="en-CA"/>
        </w:rPr>
      </w:pPr>
    </w:p>
    <w:p w14:paraId="06D98B50" w14:textId="77777777" w:rsidR="0091731C" w:rsidRDefault="0091731C">
      <w:pPr>
        <w:rPr>
          <w:lang w:val="en-CA"/>
        </w:rPr>
      </w:pPr>
    </w:p>
    <w:p w14:paraId="62C2336F" w14:textId="77777777" w:rsidR="0091731C" w:rsidRDefault="0091731C">
      <w:pPr>
        <w:rPr>
          <w:lang w:val="en-CA"/>
        </w:rPr>
      </w:pPr>
    </w:p>
    <w:p w14:paraId="4F3C0C14" w14:textId="77777777" w:rsidR="0091731C" w:rsidRDefault="0091731C">
      <w:pPr>
        <w:rPr>
          <w:lang w:val="en-CA"/>
        </w:rPr>
      </w:pPr>
    </w:p>
    <w:p w14:paraId="4DA8448A" w14:textId="77777777" w:rsidR="0091731C" w:rsidRDefault="0091731C">
      <w:pPr>
        <w:rPr>
          <w:lang w:val="en-CA"/>
        </w:rPr>
      </w:pPr>
    </w:p>
    <w:p w14:paraId="4B5A43D7" w14:textId="77777777" w:rsidR="0091731C" w:rsidRDefault="0091731C">
      <w:pPr>
        <w:rPr>
          <w:lang w:val="en-CA"/>
        </w:rPr>
      </w:pPr>
    </w:p>
    <w:p w14:paraId="60E9638C" w14:textId="77777777" w:rsidR="0091731C" w:rsidRDefault="0091731C">
      <w:pPr>
        <w:rPr>
          <w:lang w:val="en-CA"/>
        </w:rPr>
      </w:pPr>
    </w:p>
    <w:p w14:paraId="749CE6E5" w14:textId="77777777" w:rsidR="0091731C" w:rsidRDefault="0091731C">
      <w:pPr>
        <w:rPr>
          <w:lang w:val="en-CA"/>
        </w:rPr>
      </w:pPr>
    </w:p>
    <w:p w14:paraId="4252D4C1" w14:textId="77777777" w:rsidR="0091731C" w:rsidRDefault="0091731C">
      <w:pPr>
        <w:rPr>
          <w:lang w:val="en-CA"/>
        </w:rPr>
      </w:pPr>
    </w:p>
    <w:p w14:paraId="7EB8C9CD" w14:textId="77777777" w:rsidR="0091731C" w:rsidRDefault="0091731C">
      <w:pPr>
        <w:rPr>
          <w:lang w:val="en-CA"/>
        </w:rPr>
      </w:pPr>
    </w:p>
    <w:p w14:paraId="1222A793" w14:textId="77777777" w:rsidR="0091731C" w:rsidRDefault="0091731C">
      <w:pPr>
        <w:rPr>
          <w:lang w:val="en-CA"/>
        </w:rPr>
      </w:pPr>
    </w:p>
    <w:p w14:paraId="56836DAB" w14:textId="77777777" w:rsidR="0091731C" w:rsidRDefault="0091731C">
      <w:pPr>
        <w:rPr>
          <w:lang w:val="en-CA"/>
        </w:rPr>
      </w:pPr>
    </w:p>
    <w:p w14:paraId="0B132CF7" w14:textId="77777777" w:rsidR="0091731C" w:rsidRDefault="0091731C">
      <w:pPr>
        <w:rPr>
          <w:lang w:val="en-CA"/>
        </w:rPr>
      </w:pPr>
    </w:p>
    <w:p w14:paraId="79B0AC29" w14:textId="77777777" w:rsidR="0091731C" w:rsidRDefault="0091731C">
      <w:pPr>
        <w:rPr>
          <w:lang w:val="en-CA"/>
        </w:rPr>
      </w:pPr>
    </w:p>
    <w:p w14:paraId="09C99616" w14:textId="77777777" w:rsidR="0091731C" w:rsidRDefault="0091731C">
      <w:pPr>
        <w:rPr>
          <w:lang w:val="en-CA"/>
        </w:rPr>
      </w:pPr>
    </w:p>
    <w:p w14:paraId="158F80C5" w14:textId="77777777" w:rsidR="0091731C" w:rsidRDefault="0091731C">
      <w:pPr>
        <w:rPr>
          <w:lang w:val="en-CA"/>
        </w:rPr>
      </w:pPr>
    </w:p>
    <w:p w14:paraId="3D4BB093" w14:textId="77777777" w:rsidR="0091731C" w:rsidRDefault="0091731C">
      <w:pPr>
        <w:rPr>
          <w:lang w:val="en-CA"/>
        </w:rPr>
      </w:pPr>
    </w:p>
    <w:p w14:paraId="1BC1DB49" w14:textId="77777777" w:rsidR="0091731C" w:rsidRDefault="0091731C">
      <w:pPr>
        <w:rPr>
          <w:lang w:val="en-CA"/>
        </w:rPr>
      </w:pPr>
    </w:p>
    <w:p w14:paraId="770637DD" w14:textId="77777777" w:rsidR="0091731C" w:rsidRDefault="0091731C">
      <w:pPr>
        <w:rPr>
          <w:lang w:val="en-CA"/>
        </w:rPr>
      </w:pPr>
    </w:p>
    <w:p w14:paraId="449A09E7" w14:textId="77777777" w:rsidR="0091731C" w:rsidRDefault="0091731C">
      <w:pPr>
        <w:rPr>
          <w:lang w:val="en-CA"/>
        </w:rPr>
      </w:pPr>
    </w:p>
    <w:p w14:paraId="647ABD0E" w14:textId="77777777" w:rsidR="0091731C" w:rsidRDefault="0091731C">
      <w:pPr>
        <w:rPr>
          <w:lang w:val="en-CA"/>
        </w:rPr>
      </w:pPr>
    </w:p>
    <w:p w14:paraId="53B3AFA1" w14:textId="77777777" w:rsidR="0091731C" w:rsidRDefault="0091731C">
      <w:pPr>
        <w:rPr>
          <w:lang w:val="en-CA"/>
        </w:rPr>
      </w:pPr>
    </w:p>
    <w:p w14:paraId="2F65A2C2" w14:textId="77777777" w:rsidR="0091731C" w:rsidRDefault="0091731C">
      <w:pPr>
        <w:rPr>
          <w:lang w:val="en-CA"/>
        </w:rPr>
      </w:pPr>
    </w:p>
    <w:p w14:paraId="6921BC33" w14:textId="77777777" w:rsidR="0091731C" w:rsidRDefault="0091731C">
      <w:pPr>
        <w:rPr>
          <w:lang w:val="en-CA"/>
        </w:rPr>
      </w:pPr>
    </w:p>
    <w:p w14:paraId="4E3DD48E" w14:textId="77777777" w:rsidR="00366735" w:rsidRDefault="000A0BD9">
      <w:pPr>
        <w:rPr>
          <w:lang w:val="en-CA"/>
        </w:rPr>
      </w:pPr>
      <w:r>
        <w:rPr>
          <w:lang w:val="en-CA"/>
        </w:rPr>
        <w:t>Thomas Thorner and Thor Frohn-Nielsen.</w:t>
      </w:r>
      <w:r w:rsidR="00E554A0">
        <w:rPr>
          <w:lang w:val="en-CA"/>
        </w:rPr>
        <w:t xml:space="preserve"> “A Great Humbug,” in</w:t>
      </w:r>
      <w:r>
        <w:rPr>
          <w:lang w:val="en-CA"/>
        </w:rPr>
        <w:t xml:space="preserve"> </w:t>
      </w:r>
      <w:r>
        <w:rPr>
          <w:i/>
          <w:lang w:val="en-CA"/>
        </w:rPr>
        <w:t>A Few Acres of Snow: Documents in Pre-Confederation Canadian History.</w:t>
      </w:r>
      <w:r w:rsidR="00E554A0">
        <w:rPr>
          <w:lang w:val="en-CA"/>
        </w:rPr>
        <w:t xml:space="preserve"> (Toronto: University of Toronto Press, 2009), </w:t>
      </w:r>
    </w:p>
    <w:p w14:paraId="3510383C" w14:textId="77777777" w:rsidR="009514DE" w:rsidRDefault="009514DE">
      <w:pPr>
        <w:rPr>
          <w:lang w:val="en-CA"/>
        </w:rPr>
      </w:pPr>
    </w:p>
    <w:p w14:paraId="4A4A17CF" w14:textId="77777777" w:rsidR="009514DE" w:rsidRPr="0091731C" w:rsidRDefault="00C853C8">
      <w:pPr>
        <w:rPr>
          <w:lang w:val="en-CA"/>
        </w:rPr>
      </w:pPr>
      <w:r>
        <w:rPr>
          <w:lang w:val="en-CA"/>
        </w:rPr>
        <w:t xml:space="preserve">Mica </w:t>
      </w:r>
      <w:proofErr w:type="spellStart"/>
      <w:r>
        <w:rPr>
          <w:lang w:val="en-CA"/>
        </w:rPr>
        <w:t>Jorgenson.</w:t>
      </w:r>
      <w:r w:rsidR="0091731C">
        <w:rPr>
          <w:lang w:val="en-CA"/>
        </w:rPr>
        <w:t>”’Into</w:t>
      </w:r>
      <w:proofErr w:type="spellEnd"/>
      <w:r w:rsidR="0091731C">
        <w:rPr>
          <w:lang w:val="en-CA"/>
        </w:rPr>
        <w:t xml:space="preserve"> that Country to Work’: Aboriginal Economic Activities during </w:t>
      </w:r>
      <w:proofErr w:type="spellStart"/>
      <w:r w:rsidR="0091731C">
        <w:rPr>
          <w:lang w:val="en-CA"/>
        </w:rPr>
        <w:t>Barkerville’s</w:t>
      </w:r>
      <w:proofErr w:type="spellEnd"/>
      <w:r w:rsidR="0091731C">
        <w:rPr>
          <w:lang w:val="en-CA"/>
        </w:rPr>
        <w:t xml:space="preserve"> Gold Rush.” </w:t>
      </w:r>
      <w:r w:rsidR="0091731C">
        <w:rPr>
          <w:i/>
          <w:lang w:val="en-CA"/>
        </w:rPr>
        <w:t xml:space="preserve">BC Studies, </w:t>
      </w:r>
      <w:r w:rsidR="0091731C">
        <w:rPr>
          <w:lang w:val="en-CA"/>
        </w:rPr>
        <w:t xml:space="preserve">no. 185 (Spring 2015): </w:t>
      </w:r>
    </w:p>
    <w:sectPr w:rsidR="009514DE" w:rsidRPr="0091731C" w:rsidSect="00C87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ED4F" w14:textId="77777777" w:rsidR="009666C8" w:rsidRDefault="009666C8" w:rsidP="00F6131B">
      <w:r>
        <w:separator/>
      </w:r>
    </w:p>
  </w:endnote>
  <w:endnote w:type="continuationSeparator" w:id="0">
    <w:p w14:paraId="3DBBD2B4" w14:textId="77777777" w:rsidR="009666C8" w:rsidRDefault="009666C8" w:rsidP="00F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EE39" w14:textId="77777777" w:rsidR="009666C8" w:rsidRDefault="009666C8" w:rsidP="00F6131B">
      <w:r>
        <w:separator/>
      </w:r>
    </w:p>
  </w:footnote>
  <w:footnote w:type="continuationSeparator" w:id="0">
    <w:p w14:paraId="3A82F641" w14:textId="77777777" w:rsidR="009666C8" w:rsidRDefault="009666C8" w:rsidP="00F6131B">
      <w:r>
        <w:continuationSeparator/>
      </w:r>
    </w:p>
  </w:footnote>
  <w:footnote w:id="1">
    <w:p w14:paraId="52B6D213" w14:textId="77777777" w:rsidR="00F6131B" w:rsidRPr="00F6131B" w:rsidRDefault="00F6131B" w:rsidP="00ED5C43">
      <w:pPr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Thomas Thorner and Thor Frohn-Nielsen. “A Great Humbug,” in </w:t>
      </w:r>
      <w:r>
        <w:rPr>
          <w:i/>
          <w:lang w:val="en-CA"/>
        </w:rPr>
        <w:t>A Few Acres of Snow: Documents in Pre-Confederation Canadian History.</w:t>
      </w:r>
      <w:r>
        <w:rPr>
          <w:lang w:val="en-CA"/>
        </w:rPr>
        <w:t xml:space="preserve"> (Toronto: University of Toronto Press, 2009),</w:t>
      </w:r>
      <w:r>
        <w:rPr>
          <w:lang w:val="en-CA"/>
        </w:rPr>
        <w:t xml:space="preserve"> 232.</w:t>
      </w:r>
      <w:r>
        <w:rPr>
          <w:lang w:val="en-CA"/>
        </w:rPr>
        <w:t xml:space="preserve"> </w:t>
      </w:r>
    </w:p>
  </w:footnote>
  <w:footnote w:id="2">
    <w:p w14:paraId="4AA615D8" w14:textId="77777777" w:rsidR="00F267BB" w:rsidRPr="00F267BB" w:rsidRDefault="00F267B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CA"/>
        </w:rPr>
        <w:t xml:space="preserve">Ibid. </w:t>
      </w:r>
      <w:r w:rsidR="00B67770">
        <w:rPr>
          <w:lang w:val="en-CA"/>
        </w:rPr>
        <w:t>237.</w:t>
      </w:r>
    </w:p>
  </w:footnote>
  <w:footnote w:id="3">
    <w:p w14:paraId="60A0CB5F" w14:textId="77777777" w:rsidR="00ED5C43" w:rsidRPr="00ED5C43" w:rsidRDefault="00ED5C43" w:rsidP="00ED5C43">
      <w:pPr>
        <w:pStyle w:val="FootnoteText"/>
        <w:rPr>
          <w:i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Ibid., </w:t>
      </w:r>
      <w:r w:rsidRPr="00ED5C43">
        <w:t>237, 238.</w:t>
      </w:r>
    </w:p>
  </w:footnote>
  <w:footnote w:id="4">
    <w:p w14:paraId="13A6D56E" w14:textId="77777777" w:rsidR="00C9736D" w:rsidRPr="00A06498" w:rsidRDefault="00C9736D" w:rsidP="00C9736D">
      <w:pPr>
        <w:pStyle w:val="FootnoteText"/>
        <w:rPr>
          <w:i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CA"/>
        </w:rPr>
        <w:t>Ibid.</w:t>
      </w:r>
    </w:p>
  </w:footnote>
  <w:footnote w:id="5">
    <w:p w14:paraId="02568F3E" w14:textId="77777777" w:rsidR="00A82B63" w:rsidRPr="00B67770" w:rsidRDefault="00A82B6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B67770">
        <w:rPr>
          <w:i/>
          <w:lang w:val="en-CA"/>
        </w:rPr>
        <w:t xml:space="preserve">Ibid., </w:t>
      </w:r>
      <w:r w:rsidR="008E759A">
        <w:rPr>
          <w:lang w:val="en-CA"/>
        </w:rPr>
        <w:t>245.</w:t>
      </w:r>
    </w:p>
  </w:footnote>
  <w:footnote w:id="6">
    <w:p w14:paraId="4DC1EC6E" w14:textId="77777777" w:rsidR="00B67770" w:rsidRPr="008E759A" w:rsidRDefault="00B67770">
      <w:pPr>
        <w:pStyle w:val="FootnoteText"/>
        <w:rPr>
          <w:i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8E759A">
        <w:rPr>
          <w:i/>
        </w:rPr>
        <w:t>Ibid.</w:t>
      </w:r>
    </w:p>
  </w:footnote>
  <w:footnote w:id="7">
    <w:p w14:paraId="23980691" w14:textId="77777777" w:rsidR="008E759A" w:rsidRPr="008E759A" w:rsidRDefault="008E759A">
      <w:pPr>
        <w:pStyle w:val="FootnoteText"/>
        <w:rPr>
          <w:i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CA"/>
        </w:rPr>
        <w:t xml:space="preserve">Ibid., </w:t>
      </w:r>
      <w:r w:rsidRPr="008E759A">
        <w:rPr>
          <w:lang w:val="en-CA"/>
        </w:rPr>
        <w:t>246.</w:t>
      </w:r>
    </w:p>
  </w:footnote>
  <w:footnote w:id="8">
    <w:p w14:paraId="1A40A18D" w14:textId="77777777" w:rsidR="0022359F" w:rsidRPr="0022359F" w:rsidRDefault="0022359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Mica </w:t>
      </w:r>
      <w:proofErr w:type="spellStart"/>
      <w:r>
        <w:rPr>
          <w:lang w:val="en-CA"/>
        </w:rPr>
        <w:t>Jorgenson.”’Into</w:t>
      </w:r>
      <w:proofErr w:type="spellEnd"/>
      <w:r>
        <w:rPr>
          <w:lang w:val="en-CA"/>
        </w:rPr>
        <w:t xml:space="preserve"> that Country to Work’: Aboriginal Economic Activities during </w:t>
      </w:r>
      <w:proofErr w:type="spellStart"/>
      <w:r>
        <w:rPr>
          <w:lang w:val="en-CA"/>
        </w:rPr>
        <w:t>Barkerville’s</w:t>
      </w:r>
      <w:proofErr w:type="spellEnd"/>
      <w:r>
        <w:rPr>
          <w:lang w:val="en-CA"/>
        </w:rPr>
        <w:t xml:space="preserve"> Gold Rush.” </w:t>
      </w:r>
      <w:r>
        <w:rPr>
          <w:i/>
          <w:lang w:val="en-CA"/>
        </w:rPr>
        <w:t xml:space="preserve">BC Studies, </w:t>
      </w:r>
      <w:r>
        <w:rPr>
          <w:lang w:val="en-CA"/>
        </w:rPr>
        <w:t>no. 185 (Spring 2015):</w:t>
      </w:r>
      <w:r>
        <w:rPr>
          <w:lang w:val="en-CA"/>
        </w:rPr>
        <w:t xml:space="preserve"> </w:t>
      </w:r>
      <w:r w:rsidR="00A61FDF">
        <w:rPr>
          <w:lang w:val="en-CA"/>
        </w:rPr>
        <w:t>111.</w:t>
      </w:r>
    </w:p>
  </w:footnote>
  <w:footnote w:id="9">
    <w:p w14:paraId="3C824C87" w14:textId="77777777" w:rsidR="00B2078C" w:rsidRPr="00B2078C" w:rsidRDefault="00B2078C">
      <w:pPr>
        <w:pStyle w:val="FootnoteText"/>
        <w:rPr>
          <w:i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CA"/>
        </w:rPr>
        <w:t>Ibid</w:t>
      </w:r>
      <w:r w:rsidRPr="00B2078C">
        <w:rPr>
          <w:lang w:val="en-CA"/>
        </w:rPr>
        <w:t>., 109, 111.</w:t>
      </w:r>
    </w:p>
  </w:footnote>
  <w:footnote w:id="10">
    <w:p w14:paraId="6DBEBA9F" w14:textId="77777777" w:rsidR="003D485D" w:rsidRPr="003D485D" w:rsidRDefault="003D485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Ibid., </w:t>
      </w:r>
      <w:r w:rsidR="00011EE8">
        <w:t>135.</w:t>
      </w:r>
    </w:p>
  </w:footnote>
  <w:footnote w:id="11">
    <w:p w14:paraId="490A4EF6" w14:textId="77777777" w:rsidR="00525A6E" w:rsidRPr="00525A6E" w:rsidRDefault="00525A6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-CA"/>
        </w:rPr>
        <w:t xml:space="preserve">Ibid., </w:t>
      </w:r>
      <w:r>
        <w:rPr>
          <w:lang w:val="en-CA"/>
        </w:rPr>
        <w:t>116.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9"/>
    <w:rsid w:val="00011EE8"/>
    <w:rsid w:val="000747E9"/>
    <w:rsid w:val="000A0BD9"/>
    <w:rsid w:val="000F0C8E"/>
    <w:rsid w:val="001A40BE"/>
    <w:rsid w:val="0022359F"/>
    <w:rsid w:val="002A598C"/>
    <w:rsid w:val="003B303B"/>
    <w:rsid w:val="003D485D"/>
    <w:rsid w:val="003D6DD5"/>
    <w:rsid w:val="004D42B0"/>
    <w:rsid w:val="004E78B0"/>
    <w:rsid w:val="004F757A"/>
    <w:rsid w:val="00525A6E"/>
    <w:rsid w:val="00800795"/>
    <w:rsid w:val="0084607E"/>
    <w:rsid w:val="008778D5"/>
    <w:rsid w:val="008E759A"/>
    <w:rsid w:val="0091731C"/>
    <w:rsid w:val="0093271F"/>
    <w:rsid w:val="009514DE"/>
    <w:rsid w:val="009666C8"/>
    <w:rsid w:val="009835F4"/>
    <w:rsid w:val="00990274"/>
    <w:rsid w:val="009A2170"/>
    <w:rsid w:val="009B454A"/>
    <w:rsid w:val="00A03B7C"/>
    <w:rsid w:val="00A06498"/>
    <w:rsid w:val="00A2659A"/>
    <w:rsid w:val="00A61FDF"/>
    <w:rsid w:val="00A82B63"/>
    <w:rsid w:val="00A962AF"/>
    <w:rsid w:val="00B2078C"/>
    <w:rsid w:val="00B67770"/>
    <w:rsid w:val="00BC0B7A"/>
    <w:rsid w:val="00BC7F86"/>
    <w:rsid w:val="00BF6083"/>
    <w:rsid w:val="00C853C8"/>
    <w:rsid w:val="00C877AB"/>
    <w:rsid w:val="00C9736D"/>
    <w:rsid w:val="00D21B23"/>
    <w:rsid w:val="00E0700E"/>
    <w:rsid w:val="00E50154"/>
    <w:rsid w:val="00E554A0"/>
    <w:rsid w:val="00E96105"/>
    <w:rsid w:val="00ED5C43"/>
    <w:rsid w:val="00F267BB"/>
    <w:rsid w:val="00F6131B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6E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131B"/>
  </w:style>
  <w:style w:type="character" w:customStyle="1" w:styleId="FootnoteTextChar">
    <w:name w:val="Footnote Text Char"/>
    <w:basedOn w:val="DefaultParagraphFont"/>
    <w:link w:val="FootnoteText"/>
    <w:uiPriority w:val="99"/>
    <w:rsid w:val="00F6131B"/>
  </w:style>
  <w:style w:type="character" w:styleId="FootnoteReference">
    <w:name w:val="footnote reference"/>
    <w:basedOn w:val="DefaultParagraphFont"/>
    <w:uiPriority w:val="99"/>
    <w:unhideWhenUsed/>
    <w:rsid w:val="00F6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7CFCD7-3863-4C47-A1CC-96DEBDB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josslyn ryan</dc:creator>
  <cp:keywords/>
  <dc:description/>
  <cp:lastModifiedBy>josslyn ryan</cp:lastModifiedBy>
  <cp:revision>1</cp:revision>
  <dcterms:created xsi:type="dcterms:W3CDTF">2018-10-23T01:01:00Z</dcterms:created>
  <dcterms:modified xsi:type="dcterms:W3CDTF">2018-10-23T16:34:00Z</dcterms:modified>
</cp:coreProperties>
</file>