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A90FC" w14:textId="77777777" w:rsidR="00EB684B" w:rsidRDefault="00EB684B" w:rsidP="00EB684B">
      <w:pPr>
        <w:rPr>
          <w:lang w:val="en-CA"/>
        </w:rPr>
      </w:pPr>
      <w:r>
        <w:rPr>
          <w:lang w:val="en-CA"/>
        </w:rPr>
        <w:t>Josslyn Ryan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        09/25/12</w:t>
      </w:r>
    </w:p>
    <w:p w14:paraId="5DD8E298" w14:textId="77777777" w:rsidR="00EB684B" w:rsidRDefault="00EB684B" w:rsidP="00EB684B">
      <w:pPr>
        <w:rPr>
          <w:lang w:val="en-CA"/>
        </w:rPr>
      </w:pPr>
      <w:r>
        <w:rPr>
          <w:lang w:val="en-CA"/>
        </w:rPr>
        <w:t>Hist 1120</w:t>
      </w:r>
    </w:p>
    <w:p w14:paraId="30AA765A" w14:textId="3E0ECBF4" w:rsidR="00EB684B" w:rsidRPr="00806477" w:rsidRDefault="00EB684B" w:rsidP="00806477">
      <w:pPr>
        <w:jc w:val="center"/>
        <w:rPr>
          <w:lang w:val="en-CA"/>
        </w:rPr>
      </w:pPr>
      <w:r>
        <w:rPr>
          <w:lang w:val="en-CA"/>
        </w:rPr>
        <w:t>Reading Log #2</w:t>
      </w:r>
    </w:p>
    <w:p w14:paraId="168B1957" w14:textId="77777777" w:rsidR="00EB684B" w:rsidRPr="00EB684B" w:rsidRDefault="00EB684B" w:rsidP="00806477">
      <w:pPr>
        <w:jc w:val="center"/>
        <w:rPr>
          <w:u w:val="single"/>
          <w:lang w:val="en-CA"/>
        </w:rPr>
      </w:pPr>
      <w:r w:rsidRPr="00EB684B">
        <w:rPr>
          <w:u w:val="single"/>
          <w:lang w:val="en-CA"/>
        </w:rPr>
        <w:t>“We Are Well As We Are”</w:t>
      </w:r>
    </w:p>
    <w:p w14:paraId="7157CC62" w14:textId="77777777" w:rsidR="00EB684B" w:rsidRDefault="00EB684B" w:rsidP="00EB684B">
      <w:pPr>
        <w:jc w:val="center"/>
        <w:rPr>
          <w:lang w:val="en-CA"/>
        </w:rPr>
      </w:pPr>
    </w:p>
    <w:p w14:paraId="5048CB21" w14:textId="2C9D46DA" w:rsidR="00EB684B" w:rsidRDefault="00675883" w:rsidP="00675883">
      <w:pPr>
        <w:spacing w:line="480" w:lineRule="auto"/>
        <w:rPr>
          <w:lang w:val="en-CA"/>
        </w:rPr>
      </w:pPr>
      <w:r>
        <w:rPr>
          <w:lang w:val="en-CA"/>
        </w:rPr>
        <w:tab/>
      </w:r>
      <w:r w:rsidR="009E7F40">
        <w:rPr>
          <w:lang w:val="en-CA"/>
        </w:rPr>
        <w:t xml:space="preserve">Until recently, </w:t>
      </w:r>
      <w:r w:rsidR="00E8668D">
        <w:rPr>
          <w:lang w:val="en-CA"/>
        </w:rPr>
        <w:t xml:space="preserve">Christian </w:t>
      </w:r>
      <w:r w:rsidR="009E7F40">
        <w:rPr>
          <w:lang w:val="en-CA"/>
        </w:rPr>
        <w:t>missionaries weren’</w:t>
      </w:r>
      <w:r w:rsidR="000B4ECE">
        <w:rPr>
          <w:lang w:val="en-CA"/>
        </w:rPr>
        <w:t>t</w:t>
      </w:r>
      <w:r w:rsidR="000D4710">
        <w:rPr>
          <w:lang w:val="en-CA"/>
        </w:rPr>
        <w:t xml:space="preserve"> connected to the</w:t>
      </w:r>
      <w:r w:rsidR="009E7F40">
        <w:rPr>
          <w:lang w:val="en-CA"/>
        </w:rPr>
        <w:t xml:space="preserve"> harmful </w:t>
      </w:r>
      <w:r w:rsidR="000D4710">
        <w:rPr>
          <w:lang w:val="en-CA"/>
        </w:rPr>
        <w:t xml:space="preserve">outcomes of the </w:t>
      </w:r>
      <w:r w:rsidR="000B4ECE">
        <w:rPr>
          <w:lang w:val="en-CA"/>
        </w:rPr>
        <w:t xml:space="preserve">contact between the </w:t>
      </w:r>
      <w:r w:rsidR="000D4710">
        <w:rPr>
          <w:lang w:val="en-CA"/>
        </w:rPr>
        <w:t xml:space="preserve">Europeans and Indigenous peoples </w:t>
      </w:r>
      <w:r w:rsidR="0060416E">
        <w:rPr>
          <w:lang w:val="en-CA"/>
        </w:rPr>
        <w:t>throughout Canadian history</w:t>
      </w:r>
      <w:r w:rsidR="009E7F40">
        <w:rPr>
          <w:lang w:val="en-CA"/>
        </w:rPr>
        <w:t>.</w:t>
      </w:r>
      <w:r w:rsidR="00D9335A">
        <w:rPr>
          <w:rStyle w:val="FootnoteReference"/>
          <w:lang w:val="en-CA"/>
        </w:rPr>
        <w:footnoteReference w:id="1"/>
      </w:r>
      <w:r w:rsidR="009E7F40">
        <w:rPr>
          <w:lang w:val="en-CA"/>
        </w:rPr>
        <w:t xml:space="preserve"> James P. Ronda discusses what historians have uncovered through their fresh researc</w:t>
      </w:r>
      <w:r w:rsidR="002727F7">
        <w:rPr>
          <w:lang w:val="en-CA"/>
        </w:rPr>
        <w:t>h on the missionaries and I</w:t>
      </w:r>
      <w:r w:rsidR="006A31DC">
        <w:rPr>
          <w:lang w:val="en-CA"/>
        </w:rPr>
        <w:t>ndigenous peoples, and how their evangelistic motives brought destruction to Indigenous culture.</w:t>
      </w:r>
      <w:r w:rsidR="00D9335A">
        <w:rPr>
          <w:rStyle w:val="FootnoteReference"/>
          <w:lang w:val="en-CA"/>
        </w:rPr>
        <w:footnoteReference w:id="2"/>
      </w:r>
      <w:r w:rsidR="006A31DC">
        <w:rPr>
          <w:lang w:val="en-CA"/>
        </w:rPr>
        <w:t xml:space="preserve"> </w:t>
      </w:r>
      <w:r w:rsidR="00097510">
        <w:rPr>
          <w:lang w:val="en-CA"/>
        </w:rPr>
        <w:t xml:space="preserve">In this article, we gain insight to how each culture viewed </w:t>
      </w:r>
      <w:r w:rsidR="00CC7C27">
        <w:rPr>
          <w:lang w:val="en-CA"/>
        </w:rPr>
        <w:t xml:space="preserve">each other’s practices of faith, </w:t>
      </w:r>
      <w:r w:rsidR="00675778">
        <w:rPr>
          <w:lang w:val="en-CA"/>
        </w:rPr>
        <w:t xml:space="preserve">the </w:t>
      </w:r>
      <w:r w:rsidR="003D6190">
        <w:rPr>
          <w:lang w:val="en-CA"/>
        </w:rPr>
        <w:t xml:space="preserve">measures that the </w:t>
      </w:r>
      <w:r w:rsidR="00675778">
        <w:rPr>
          <w:lang w:val="en-CA"/>
        </w:rPr>
        <w:t xml:space="preserve">missionaries </w:t>
      </w:r>
      <w:r w:rsidR="003D6190">
        <w:rPr>
          <w:lang w:val="en-CA"/>
        </w:rPr>
        <w:t>would go</w:t>
      </w:r>
      <w:r w:rsidR="00AF7C65">
        <w:rPr>
          <w:lang w:val="en-CA"/>
        </w:rPr>
        <w:t xml:space="preserve"> to</w:t>
      </w:r>
      <w:r w:rsidR="003D6190">
        <w:rPr>
          <w:lang w:val="en-CA"/>
        </w:rPr>
        <w:t xml:space="preserve"> to transform the Indigenous culture,</w:t>
      </w:r>
      <w:r w:rsidR="00675778">
        <w:rPr>
          <w:lang w:val="en-CA"/>
        </w:rPr>
        <w:t xml:space="preserve"> and the responses of</w:t>
      </w:r>
      <w:r w:rsidR="008041BC">
        <w:rPr>
          <w:lang w:val="en-CA"/>
        </w:rPr>
        <w:t xml:space="preserve"> the </w:t>
      </w:r>
      <w:r w:rsidR="00675778">
        <w:rPr>
          <w:lang w:val="en-CA"/>
        </w:rPr>
        <w:t xml:space="preserve">Indigenous peoples towards the </w:t>
      </w:r>
      <w:r w:rsidR="008041BC">
        <w:rPr>
          <w:lang w:val="en-CA"/>
        </w:rPr>
        <w:t>missionaries</w:t>
      </w:r>
      <w:r w:rsidR="002727F7">
        <w:rPr>
          <w:lang w:val="en-CA"/>
        </w:rPr>
        <w:t>’</w:t>
      </w:r>
      <w:r w:rsidR="008041BC">
        <w:rPr>
          <w:lang w:val="en-CA"/>
        </w:rPr>
        <w:t xml:space="preserve"> goal of “saving”</w:t>
      </w:r>
      <w:r w:rsidR="00D9335A">
        <w:rPr>
          <w:lang w:val="en-CA"/>
        </w:rPr>
        <w:t xml:space="preserve"> them</w:t>
      </w:r>
      <w:r w:rsidR="00675778">
        <w:rPr>
          <w:lang w:val="en-CA"/>
        </w:rPr>
        <w:t>.</w:t>
      </w:r>
    </w:p>
    <w:p w14:paraId="13A590D3" w14:textId="61DC057F" w:rsidR="00D9335A" w:rsidRDefault="00D9335A" w:rsidP="00675883">
      <w:pPr>
        <w:spacing w:line="480" w:lineRule="auto"/>
        <w:rPr>
          <w:lang w:val="en-CA"/>
        </w:rPr>
      </w:pPr>
      <w:r>
        <w:rPr>
          <w:lang w:val="en-CA"/>
        </w:rPr>
        <w:tab/>
        <w:t>A central theme of the missionaries</w:t>
      </w:r>
      <w:r w:rsidR="002727F7">
        <w:rPr>
          <w:lang w:val="en-CA"/>
        </w:rPr>
        <w:t>’ and I</w:t>
      </w:r>
      <w:r>
        <w:rPr>
          <w:lang w:val="en-CA"/>
        </w:rPr>
        <w:t>ndigenous peoples</w:t>
      </w:r>
      <w:r w:rsidR="00E56EEB">
        <w:rPr>
          <w:lang w:val="en-CA"/>
        </w:rPr>
        <w:t>’</w:t>
      </w:r>
      <w:r>
        <w:rPr>
          <w:lang w:val="en-CA"/>
        </w:rPr>
        <w:t xml:space="preserve"> arguments were on the topic of the afterlife, and sin.</w:t>
      </w:r>
      <w:r w:rsidR="0030115E">
        <w:rPr>
          <w:rStyle w:val="FootnoteReference"/>
          <w:lang w:val="en-CA"/>
        </w:rPr>
        <w:footnoteReference w:id="3"/>
      </w:r>
      <w:r>
        <w:rPr>
          <w:lang w:val="en-CA"/>
        </w:rPr>
        <w:t xml:space="preserve"> Christian’s believe that </w:t>
      </w:r>
      <w:r w:rsidR="00410EEF">
        <w:rPr>
          <w:lang w:val="en-CA"/>
        </w:rPr>
        <w:t>there is a place in heaven for them if they are to submit to God and repent of</w:t>
      </w:r>
      <w:r w:rsidR="002727F7">
        <w:rPr>
          <w:lang w:val="en-CA"/>
        </w:rPr>
        <w:t xml:space="preserve"> their earthly sins, while the I</w:t>
      </w:r>
      <w:r w:rsidR="00410EEF">
        <w:rPr>
          <w:lang w:val="en-CA"/>
        </w:rPr>
        <w:t xml:space="preserve">ndigenous peoples believed that once they die, they will reside in a place of nature where they will </w:t>
      </w:r>
      <w:r w:rsidR="00FA2AED">
        <w:rPr>
          <w:lang w:val="en-CA"/>
        </w:rPr>
        <w:t xml:space="preserve">eat, </w:t>
      </w:r>
      <w:r w:rsidR="00410EEF">
        <w:rPr>
          <w:lang w:val="en-CA"/>
        </w:rPr>
        <w:t>hunt,</w:t>
      </w:r>
      <w:r w:rsidR="00FA2AED">
        <w:rPr>
          <w:lang w:val="en-CA"/>
        </w:rPr>
        <w:t xml:space="preserve"> have warfare,</w:t>
      </w:r>
      <w:r w:rsidR="00410EEF">
        <w:rPr>
          <w:lang w:val="en-CA"/>
        </w:rPr>
        <w:t xml:space="preserve"> and be with their people.</w:t>
      </w:r>
      <w:r w:rsidR="00FA2AED">
        <w:rPr>
          <w:rStyle w:val="FootnoteReference"/>
          <w:lang w:val="en-CA"/>
        </w:rPr>
        <w:footnoteReference w:id="4"/>
      </w:r>
      <w:r w:rsidR="00381CE2">
        <w:rPr>
          <w:lang w:val="en-CA"/>
        </w:rPr>
        <w:t xml:space="preserve"> </w:t>
      </w:r>
      <w:r w:rsidR="002727F7">
        <w:rPr>
          <w:lang w:val="en-CA"/>
        </w:rPr>
        <w:t>Indigenous p</w:t>
      </w:r>
      <w:r w:rsidR="00C119C2">
        <w:rPr>
          <w:lang w:val="en-CA"/>
        </w:rPr>
        <w:t xml:space="preserve">eoples understood the Christians beliefs of sin to be </w:t>
      </w:r>
      <w:r w:rsidR="00F93BB1">
        <w:rPr>
          <w:lang w:val="en-CA"/>
        </w:rPr>
        <w:t xml:space="preserve">an “obsession with death and punishment”, and </w:t>
      </w:r>
      <w:r w:rsidR="00A43371">
        <w:rPr>
          <w:lang w:val="en-CA"/>
        </w:rPr>
        <w:t>found it useless in their way of life</w:t>
      </w:r>
      <w:r w:rsidR="00F93BB1">
        <w:rPr>
          <w:lang w:val="en-CA"/>
        </w:rPr>
        <w:t>.</w:t>
      </w:r>
      <w:r w:rsidR="00F93BB1">
        <w:rPr>
          <w:rStyle w:val="FootnoteReference"/>
          <w:lang w:val="en-CA"/>
        </w:rPr>
        <w:footnoteReference w:id="5"/>
      </w:r>
      <w:r w:rsidR="00293BF1">
        <w:rPr>
          <w:lang w:val="en-CA"/>
        </w:rPr>
        <w:t xml:space="preserve"> On the contrary, the Christian missionaries</w:t>
      </w:r>
      <w:r w:rsidR="00F93BB1">
        <w:rPr>
          <w:lang w:val="en-CA"/>
        </w:rPr>
        <w:t xml:space="preserve"> witnessed the Indigenous peoples</w:t>
      </w:r>
      <w:r w:rsidR="002727F7">
        <w:rPr>
          <w:lang w:val="en-CA"/>
        </w:rPr>
        <w:t>’</w:t>
      </w:r>
      <w:r w:rsidR="00F93BB1">
        <w:rPr>
          <w:lang w:val="en-CA"/>
        </w:rPr>
        <w:t xml:space="preserve"> ceremonial rituals</w:t>
      </w:r>
      <w:r w:rsidR="00293BF1">
        <w:rPr>
          <w:lang w:val="en-CA"/>
        </w:rPr>
        <w:t xml:space="preserve">, and </w:t>
      </w:r>
      <w:r w:rsidR="00293BF1">
        <w:rPr>
          <w:lang w:val="en-CA"/>
        </w:rPr>
        <w:lastRenderedPageBreak/>
        <w:t>beliefs that there would be earthly pleasures in the afterlife, to be demonic.</w:t>
      </w:r>
      <w:r w:rsidR="00293BF1">
        <w:rPr>
          <w:rStyle w:val="FootnoteReference"/>
          <w:lang w:val="en-CA"/>
        </w:rPr>
        <w:footnoteReference w:id="6"/>
      </w:r>
      <w:r w:rsidR="00A43371">
        <w:rPr>
          <w:lang w:val="en-CA"/>
        </w:rPr>
        <w:t xml:space="preserve"> These conflictions among the two cultures caused strife, but also caused historians to understand that both parties had reasonable religions.</w:t>
      </w:r>
      <w:r w:rsidR="00A43371">
        <w:rPr>
          <w:rStyle w:val="FootnoteReference"/>
          <w:lang w:val="en-CA"/>
        </w:rPr>
        <w:footnoteReference w:id="7"/>
      </w:r>
      <w:r w:rsidR="00A43371">
        <w:rPr>
          <w:lang w:val="en-CA"/>
        </w:rPr>
        <w:t xml:space="preserve"> </w:t>
      </w:r>
    </w:p>
    <w:p w14:paraId="76F1C3B8" w14:textId="28B3F2BD" w:rsidR="00A43371" w:rsidRDefault="00A43371" w:rsidP="00675883">
      <w:pPr>
        <w:spacing w:line="480" w:lineRule="auto"/>
        <w:rPr>
          <w:lang w:val="en-CA"/>
        </w:rPr>
      </w:pPr>
      <w:r>
        <w:rPr>
          <w:lang w:val="en-CA"/>
        </w:rPr>
        <w:tab/>
      </w:r>
      <w:r w:rsidR="00094587">
        <w:rPr>
          <w:lang w:val="en-CA"/>
        </w:rPr>
        <w:t>The missionaries</w:t>
      </w:r>
      <w:r w:rsidR="002727F7">
        <w:rPr>
          <w:lang w:val="en-CA"/>
        </w:rPr>
        <w:t>’</w:t>
      </w:r>
      <w:r w:rsidR="00094587">
        <w:rPr>
          <w:lang w:val="en-CA"/>
        </w:rPr>
        <w:t xml:space="preserve"> goal was to transform the Indigenous peoples’ culture to the European</w:t>
      </w:r>
      <w:r w:rsidR="0012283F">
        <w:rPr>
          <w:lang w:val="en-CA"/>
        </w:rPr>
        <w:t>’s</w:t>
      </w:r>
      <w:r w:rsidR="00094587">
        <w:rPr>
          <w:lang w:val="en-CA"/>
        </w:rPr>
        <w:t xml:space="preserve"> way of life</w:t>
      </w:r>
      <w:r w:rsidR="0012283F">
        <w:rPr>
          <w:lang w:val="en-CA"/>
        </w:rPr>
        <w:t>,</w:t>
      </w:r>
      <w:r w:rsidR="00094587">
        <w:rPr>
          <w:lang w:val="en-CA"/>
        </w:rPr>
        <w:t xml:space="preserve"> and they w</w:t>
      </w:r>
      <w:r w:rsidR="00AF7C65">
        <w:rPr>
          <w:lang w:val="en-CA"/>
        </w:rPr>
        <w:t>ent through</w:t>
      </w:r>
      <w:r w:rsidR="0012283F">
        <w:rPr>
          <w:lang w:val="en-CA"/>
        </w:rPr>
        <w:t xml:space="preserve"> extremes of achieving it</w:t>
      </w:r>
      <w:r w:rsidR="003B1E31">
        <w:rPr>
          <w:lang w:val="en-CA"/>
        </w:rPr>
        <w:t>.</w:t>
      </w:r>
      <w:r w:rsidR="0012283F">
        <w:rPr>
          <w:rStyle w:val="FootnoteReference"/>
          <w:lang w:val="en-CA"/>
        </w:rPr>
        <w:footnoteReference w:id="8"/>
      </w:r>
      <w:r w:rsidR="003B1E31">
        <w:rPr>
          <w:lang w:val="en-CA"/>
        </w:rPr>
        <w:t xml:space="preserve"> The missionaries </w:t>
      </w:r>
      <w:r w:rsidR="002727F7">
        <w:rPr>
          <w:lang w:val="en-CA"/>
        </w:rPr>
        <w:t>performed baptisms among the I</w:t>
      </w:r>
      <w:r w:rsidR="003B1E31">
        <w:rPr>
          <w:lang w:val="en-CA"/>
        </w:rPr>
        <w:t>ndigenous peoples which lead to the suspicion of it being the root of the smallpox epidemic.</w:t>
      </w:r>
      <w:r w:rsidR="0012283F">
        <w:rPr>
          <w:rStyle w:val="FootnoteReference"/>
          <w:lang w:val="en-CA"/>
        </w:rPr>
        <w:footnoteReference w:id="9"/>
      </w:r>
      <w:r w:rsidR="003B1E31">
        <w:rPr>
          <w:lang w:val="en-CA"/>
        </w:rPr>
        <w:t xml:space="preserve"> This is important to note because there was a need for healing </w:t>
      </w:r>
      <w:r w:rsidR="002727F7">
        <w:rPr>
          <w:lang w:val="en-CA"/>
        </w:rPr>
        <w:t>among the I</w:t>
      </w:r>
      <w:r w:rsidR="003B1E31">
        <w:rPr>
          <w:lang w:val="en-CA"/>
        </w:rPr>
        <w:t>ndigenous peoples, and the Christian missionaries condemned their healing ceremonies which were extremely significant to the</w:t>
      </w:r>
      <w:r w:rsidR="002727F7">
        <w:rPr>
          <w:lang w:val="en-CA"/>
        </w:rPr>
        <w:t>ir</w:t>
      </w:r>
      <w:bookmarkStart w:id="0" w:name="_GoBack"/>
      <w:bookmarkEnd w:id="0"/>
      <w:r w:rsidR="003B1E31">
        <w:rPr>
          <w:lang w:val="en-CA"/>
        </w:rPr>
        <w:t xml:space="preserve"> culture.</w:t>
      </w:r>
      <w:r w:rsidR="00A9175B">
        <w:rPr>
          <w:rStyle w:val="FootnoteReference"/>
          <w:lang w:val="en-CA"/>
        </w:rPr>
        <w:footnoteReference w:id="10"/>
      </w:r>
      <w:r w:rsidR="003B1E31">
        <w:rPr>
          <w:lang w:val="en-CA"/>
        </w:rPr>
        <w:t xml:space="preserve"> </w:t>
      </w:r>
      <w:r w:rsidR="0012283F">
        <w:rPr>
          <w:lang w:val="en-CA"/>
        </w:rPr>
        <w:t xml:space="preserve">Through their messages of sin, the missionaries used guilt and scare tactics </w:t>
      </w:r>
      <w:r w:rsidR="002727F7">
        <w:rPr>
          <w:lang w:val="en-CA"/>
        </w:rPr>
        <w:t>to convert the Indigenous p</w:t>
      </w:r>
      <w:r w:rsidR="0012283F">
        <w:rPr>
          <w:lang w:val="en-CA"/>
        </w:rPr>
        <w:t xml:space="preserve">eoples, which may have caused some to feel guilty or confused about their culture, </w:t>
      </w:r>
      <w:r w:rsidR="0012283F">
        <w:rPr>
          <w:lang w:val="en-CA"/>
        </w:rPr>
        <w:t xml:space="preserve">possibly </w:t>
      </w:r>
      <w:r w:rsidR="0012283F">
        <w:rPr>
          <w:lang w:val="en-CA"/>
        </w:rPr>
        <w:t>leading to</w:t>
      </w:r>
      <w:r w:rsidR="0012283F">
        <w:rPr>
          <w:lang w:val="en-CA"/>
        </w:rPr>
        <w:t xml:space="preserve"> the revitalization of religions.</w:t>
      </w:r>
      <w:r w:rsidR="00A9175B">
        <w:rPr>
          <w:rStyle w:val="FootnoteReference"/>
          <w:lang w:val="en-CA"/>
        </w:rPr>
        <w:footnoteReference w:id="11"/>
      </w:r>
    </w:p>
    <w:p w14:paraId="75437EE7" w14:textId="5EBDA4F9" w:rsidR="0012283F" w:rsidRDefault="0012283F" w:rsidP="00675883">
      <w:pPr>
        <w:spacing w:line="480" w:lineRule="auto"/>
        <w:rPr>
          <w:lang w:val="en-CA"/>
        </w:rPr>
      </w:pPr>
      <w:r>
        <w:rPr>
          <w:lang w:val="en-CA"/>
        </w:rPr>
        <w:tab/>
        <w:t>“Missionaries promised heaven, but brought devastation.”</w:t>
      </w:r>
      <w:r w:rsidR="008E7B18">
        <w:rPr>
          <w:rStyle w:val="FootnoteReference"/>
          <w:lang w:val="en-CA"/>
        </w:rPr>
        <w:footnoteReference w:id="12"/>
      </w:r>
      <w:r w:rsidR="008E7B18">
        <w:rPr>
          <w:lang w:val="en-CA"/>
        </w:rPr>
        <w:t xml:space="preserve"> </w:t>
      </w:r>
      <w:r w:rsidR="00AF7C65">
        <w:rPr>
          <w:lang w:val="en-CA"/>
        </w:rPr>
        <w:t>Ronda’s</w:t>
      </w:r>
      <w:r w:rsidR="008E7B18">
        <w:rPr>
          <w:lang w:val="en-CA"/>
        </w:rPr>
        <w:t xml:space="preserve"> article depicts the irony of the missionaries’ goal to “save”</w:t>
      </w:r>
      <w:r w:rsidR="002727F7">
        <w:rPr>
          <w:lang w:val="en-CA"/>
        </w:rPr>
        <w:t xml:space="preserve"> the Indigenous p</w:t>
      </w:r>
      <w:r w:rsidR="008E7B18">
        <w:rPr>
          <w:lang w:val="en-CA"/>
        </w:rPr>
        <w:t>eoples. Two completely different religions that couldn’t agree, yet it is known to be a one-side</w:t>
      </w:r>
      <w:r w:rsidR="00E8668D">
        <w:rPr>
          <w:lang w:val="en-CA"/>
        </w:rPr>
        <w:t>d</w:t>
      </w:r>
      <w:r w:rsidR="008E7B18">
        <w:rPr>
          <w:lang w:val="en-CA"/>
        </w:rPr>
        <w:t xml:space="preserve"> battle because the Christians imposed their beliefs so harshly.</w:t>
      </w:r>
      <w:r w:rsidR="008E7B18">
        <w:rPr>
          <w:rStyle w:val="FootnoteReference"/>
          <w:lang w:val="en-CA"/>
        </w:rPr>
        <w:footnoteReference w:id="13"/>
      </w:r>
      <w:r w:rsidR="00AF7C65">
        <w:rPr>
          <w:lang w:val="en-CA"/>
        </w:rPr>
        <w:t xml:space="preserve"> These interactions were so harmful because of the incredible ambition of the missionaries to have a culture “commit cultural suicide”.</w:t>
      </w:r>
      <w:r w:rsidR="00AF7C65">
        <w:rPr>
          <w:rStyle w:val="FootnoteReference"/>
          <w:lang w:val="en-CA"/>
        </w:rPr>
        <w:footnoteReference w:id="14"/>
      </w:r>
    </w:p>
    <w:p w14:paraId="4CD2CECD" w14:textId="4E545C2C" w:rsidR="0012283F" w:rsidRDefault="0012283F" w:rsidP="00675883">
      <w:pPr>
        <w:spacing w:line="480" w:lineRule="auto"/>
        <w:rPr>
          <w:lang w:val="en-CA"/>
        </w:rPr>
      </w:pPr>
      <w:r>
        <w:rPr>
          <w:lang w:val="en-CA"/>
        </w:rPr>
        <w:tab/>
      </w:r>
    </w:p>
    <w:p w14:paraId="423286C1" w14:textId="654CC6C9" w:rsidR="0012283F" w:rsidRDefault="00220F99" w:rsidP="0012283F">
      <w:pPr>
        <w:spacing w:line="480" w:lineRule="auto"/>
        <w:rPr>
          <w:lang w:val="en-CA"/>
        </w:rPr>
      </w:pPr>
      <w:r>
        <w:rPr>
          <w:lang w:val="en-CA"/>
        </w:rPr>
        <w:tab/>
      </w:r>
    </w:p>
    <w:p w14:paraId="31A16A63" w14:textId="33D14A33" w:rsidR="00806477" w:rsidRDefault="00806477" w:rsidP="00675883">
      <w:pPr>
        <w:spacing w:line="480" w:lineRule="auto"/>
        <w:rPr>
          <w:lang w:val="en-CA"/>
        </w:rPr>
      </w:pPr>
    </w:p>
    <w:p w14:paraId="086A4AAE" w14:textId="1861B9AF" w:rsidR="00626D01" w:rsidRPr="00597245" w:rsidRDefault="00626D01" w:rsidP="00597245">
      <w:pPr>
        <w:spacing w:line="480" w:lineRule="auto"/>
        <w:ind w:firstLine="720"/>
        <w:rPr>
          <w:lang w:val="en-CA"/>
        </w:rPr>
      </w:pPr>
    </w:p>
    <w:sectPr w:rsidR="00626D01" w:rsidRPr="00597245" w:rsidSect="00C877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441AF" w14:textId="77777777" w:rsidR="00F35E36" w:rsidRDefault="00F35E36" w:rsidP="00D9335A">
      <w:r>
        <w:separator/>
      </w:r>
    </w:p>
  </w:endnote>
  <w:endnote w:type="continuationSeparator" w:id="0">
    <w:p w14:paraId="7D466C15" w14:textId="77777777" w:rsidR="00F35E36" w:rsidRDefault="00F35E36" w:rsidP="00D93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43075" w14:textId="77777777" w:rsidR="00F35E36" w:rsidRDefault="00F35E36" w:rsidP="00D9335A">
      <w:r>
        <w:separator/>
      </w:r>
    </w:p>
  </w:footnote>
  <w:footnote w:type="continuationSeparator" w:id="0">
    <w:p w14:paraId="0FFD262D" w14:textId="77777777" w:rsidR="00F35E36" w:rsidRDefault="00F35E36" w:rsidP="00D9335A">
      <w:r>
        <w:continuationSeparator/>
      </w:r>
    </w:p>
  </w:footnote>
  <w:footnote w:id="1">
    <w:p w14:paraId="79AFAEAC" w14:textId="0EA825BA" w:rsidR="00D9335A" w:rsidRPr="00D9335A" w:rsidRDefault="00D9335A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="00597245" w:rsidRPr="00597245">
        <w:rPr>
          <w:sz w:val="20"/>
          <w:szCs w:val="20"/>
          <w:lang w:val="en-CA"/>
        </w:rPr>
        <w:t xml:space="preserve">James P. Ronda. “’We Are Well As We Are.’: An Indian Critique of Seventeenth-Century Christian Missions”, </w:t>
      </w:r>
      <w:r w:rsidR="00597245" w:rsidRPr="00597245">
        <w:rPr>
          <w:i/>
          <w:sz w:val="20"/>
          <w:szCs w:val="20"/>
          <w:lang w:val="en-CA"/>
        </w:rPr>
        <w:t xml:space="preserve">The William and Mary Quarterly 34, </w:t>
      </w:r>
      <w:r w:rsidR="00597245" w:rsidRPr="00597245">
        <w:rPr>
          <w:sz w:val="20"/>
          <w:szCs w:val="20"/>
          <w:lang w:val="en-CA"/>
        </w:rPr>
        <w:t>no. 1 (1977).</w:t>
      </w:r>
      <w:r w:rsidR="00597245">
        <w:rPr>
          <w:sz w:val="20"/>
          <w:szCs w:val="20"/>
          <w:lang w:val="en-CA"/>
        </w:rPr>
        <w:t xml:space="preserve"> 66-67. </w:t>
      </w:r>
      <w:r w:rsidR="00E56EEB">
        <w:rPr>
          <w:sz w:val="20"/>
          <w:szCs w:val="20"/>
          <w:lang w:val="en-CA"/>
        </w:rPr>
        <w:t>Historians changed their views on the early Christian missionaries.</w:t>
      </w:r>
    </w:p>
  </w:footnote>
  <w:footnote w:id="2">
    <w:p w14:paraId="63CCFF9B" w14:textId="03F6674D" w:rsidR="00D9335A" w:rsidRPr="00E56EEB" w:rsidRDefault="00D9335A">
      <w:pPr>
        <w:pStyle w:val="FootnoteText"/>
        <w:rPr>
          <w:sz w:val="20"/>
          <w:szCs w:val="20"/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="00E56EEB">
        <w:rPr>
          <w:sz w:val="20"/>
          <w:szCs w:val="20"/>
        </w:rPr>
        <w:t>Ibid., 66-82</w:t>
      </w:r>
      <w:r w:rsidR="00F93BB1">
        <w:rPr>
          <w:sz w:val="20"/>
          <w:szCs w:val="20"/>
        </w:rPr>
        <w:t>.</w:t>
      </w:r>
    </w:p>
  </w:footnote>
  <w:footnote w:id="3">
    <w:p w14:paraId="47482184" w14:textId="4F121682" w:rsidR="0030115E" w:rsidRPr="0030115E" w:rsidRDefault="0030115E">
      <w:pPr>
        <w:pStyle w:val="FootnoteText"/>
        <w:rPr>
          <w:sz w:val="20"/>
          <w:szCs w:val="20"/>
          <w:lang w:val="en-CA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  <w:szCs w:val="20"/>
          <w:lang w:val="en-CA"/>
        </w:rPr>
        <w:t>Ibid., 68-82</w:t>
      </w:r>
      <w:r w:rsidR="00F93BB1">
        <w:rPr>
          <w:sz w:val="20"/>
          <w:szCs w:val="20"/>
          <w:lang w:val="en-CA"/>
        </w:rPr>
        <w:t>.</w:t>
      </w:r>
    </w:p>
  </w:footnote>
  <w:footnote w:id="4">
    <w:p w14:paraId="4C64C48A" w14:textId="51AAE436" w:rsidR="00FA2AED" w:rsidRPr="00381CE2" w:rsidRDefault="00FA2AED">
      <w:pPr>
        <w:pStyle w:val="FootnoteText"/>
        <w:rPr>
          <w:sz w:val="20"/>
          <w:szCs w:val="20"/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="00381CE2">
        <w:rPr>
          <w:sz w:val="20"/>
          <w:szCs w:val="20"/>
        </w:rPr>
        <w:t>Ibid., 68-70.</w:t>
      </w:r>
    </w:p>
  </w:footnote>
  <w:footnote w:id="5">
    <w:p w14:paraId="6DB4BDAE" w14:textId="1EE5A1EF" w:rsidR="00F93BB1" w:rsidRPr="00F93BB1" w:rsidRDefault="00F93BB1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Pr="00F93BB1">
        <w:rPr>
          <w:sz w:val="20"/>
          <w:szCs w:val="20"/>
          <w:lang w:val="en-CA"/>
        </w:rPr>
        <w:t>Ibid., 70.</w:t>
      </w:r>
    </w:p>
  </w:footnote>
  <w:footnote w:id="6">
    <w:p w14:paraId="57047D19" w14:textId="7D9475B2" w:rsidR="00293BF1" w:rsidRPr="00293BF1" w:rsidRDefault="00293BF1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="00A43371">
        <w:rPr>
          <w:sz w:val="20"/>
          <w:szCs w:val="20"/>
          <w:lang w:val="en-CA"/>
        </w:rPr>
        <w:t xml:space="preserve">Ibid., </w:t>
      </w:r>
      <w:r w:rsidR="00A43371" w:rsidRPr="00A43371">
        <w:rPr>
          <w:sz w:val="20"/>
          <w:szCs w:val="20"/>
          <w:lang w:val="en-CA"/>
        </w:rPr>
        <w:t>73</w:t>
      </w:r>
    </w:p>
  </w:footnote>
  <w:footnote w:id="7">
    <w:p w14:paraId="3CBA4692" w14:textId="35E395AC" w:rsidR="00A43371" w:rsidRPr="00A43371" w:rsidRDefault="00A43371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Pr="00A43371">
        <w:rPr>
          <w:sz w:val="20"/>
          <w:szCs w:val="20"/>
          <w:lang w:val="en-CA"/>
        </w:rPr>
        <w:t>Ibid., 76.</w:t>
      </w:r>
    </w:p>
  </w:footnote>
  <w:footnote w:id="8">
    <w:p w14:paraId="547C617A" w14:textId="649325F6" w:rsidR="0012283F" w:rsidRPr="0012283F" w:rsidRDefault="0012283F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Pr="0012283F">
        <w:rPr>
          <w:sz w:val="20"/>
          <w:szCs w:val="20"/>
          <w:lang w:val="en-CA"/>
        </w:rPr>
        <w:t>Ibid., 67</w:t>
      </w:r>
      <w:r>
        <w:rPr>
          <w:lang w:val="en-CA"/>
        </w:rPr>
        <w:t>.</w:t>
      </w:r>
    </w:p>
  </w:footnote>
  <w:footnote w:id="9">
    <w:p w14:paraId="161B1D68" w14:textId="39F16BA8" w:rsidR="0012283F" w:rsidRPr="0012283F" w:rsidRDefault="0012283F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="00A9175B" w:rsidRPr="00A9175B">
        <w:rPr>
          <w:sz w:val="20"/>
          <w:szCs w:val="20"/>
          <w:lang w:val="en-CA"/>
        </w:rPr>
        <w:t>Ibid., 72-74.</w:t>
      </w:r>
    </w:p>
  </w:footnote>
  <w:footnote w:id="10">
    <w:p w14:paraId="2C600E55" w14:textId="40B9E7CD" w:rsidR="00A9175B" w:rsidRPr="00A9175B" w:rsidRDefault="00A9175B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Pr="00A9175B">
        <w:rPr>
          <w:sz w:val="20"/>
          <w:szCs w:val="20"/>
          <w:lang w:val="en-CA"/>
        </w:rPr>
        <w:t>Ibid.</w:t>
      </w:r>
    </w:p>
  </w:footnote>
  <w:footnote w:id="11">
    <w:p w14:paraId="5E08A17D" w14:textId="6678FFC3" w:rsidR="00A9175B" w:rsidRPr="00A9175B" w:rsidRDefault="00A9175B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Pr="008E7B18">
        <w:rPr>
          <w:sz w:val="20"/>
          <w:szCs w:val="20"/>
          <w:lang w:val="en-CA"/>
        </w:rPr>
        <w:t>Ibid.,</w:t>
      </w:r>
      <w:r w:rsidR="008E7B18" w:rsidRPr="008E7B18">
        <w:rPr>
          <w:sz w:val="20"/>
          <w:szCs w:val="20"/>
          <w:lang w:val="en-CA"/>
        </w:rPr>
        <w:t xml:space="preserve"> 68-71</w:t>
      </w:r>
      <w:r w:rsidR="008E7B18">
        <w:rPr>
          <w:sz w:val="20"/>
          <w:szCs w:val="20"/>
          <w:lang w:val="en-CA"/>
        </w:rPr>
        <w:t>, 79.</w:t>
      </w:r>
    </w:p>
  </w:footnote>
  <w:footnote w:id="12">
    <w:p w14:paraId="472CEE88" w14:textId="5821B5AE" w:rsidR="008E7B18" w:rsidRPr="008E7B18" w:rsidRDefault="008E7B18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Pr="008E7B18">
        <w:rPr>
          <w:sz w:val="20"/>
          <w:szCs w:val="20"/>
          <w:lang w:val="en-CA"/>
        </w:rPr>
        <w:t>Ibid., 82.</w:t>
      </w:r>
    </w:p>
  </w:footnote>
  <w:footnote w:id="13">
    <w:p w14:paraId="49A23184" w14:textId="7E819158" w:rsidR="008E7B18" w:rsidRPr="008E7B18" w:rsidRDefault="008E7B18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="00AF7C65" w:rsidRPr="00AF7C65">
        <w:rPr>
          <w:sz w:val="20"/>
          <w:szCs w:val="20"/>
          <w:lang w:val="en-CA"/>
        </w:rPr>
        <w:t>Ibid., 67.</w:t>
      </w:r>
    </w:p>
  </w:footnote>
  <w:footnote w:id="14">
    <w:p w14:paraId="0959F7F6" w14:textId="0380BC77" w:rsidR="00AF7C65" w:rsidRPr="00AF7C65" w:rsidRDefault="00AF7C65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Pr="00AF7C65">
        <w:rPr>
          <w:sz w:val="20"/>
          <w:szCs w:val="20"/>
          <w:lang w:val="en-CA"/>
        </w:rPr>
        <w:t>Ibid.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4B"/>
    <w:rsid w:val="00094587"/>
    <w:rsid w:val="00097510"/>
    <w:rsid w:val="000B4ECE"/>
    <w:rsid w:val="000D4710"/>
    <w:rsid w:val="0012283F"/>
    <w:rsid w:val="0014097D"/>
    <w:rsid w:val="00174EB1"/>
    <w:rsid w:val="0018655F"/>
    <w:rsid w:val="002134E5"/>
    <w:rsid w:val="00220F99"/>
    <w:rsid w:val="002727F7"/>
    <w:rsid w:val="00293BF1"/>
    <w:rsid w:val="0030115E"/>
    <w:rsid w:val="00320401"/>
    <w:rsid w:val="00381CE2"/>
    <w:rsid w:val="003B1E31"/>
    <w:rsid w:val="003D6190"/>
    <w:rsid w:val="00410EEF"/>
    <w:rsid w:val="004E069D"/>
    <w:rsid w:val="00562159"/>
    <w:rsid w:val="00597245"/>
    <w:rsid w:val="0060416E"/>
    <w:rsid w:val="00626D01"/>
    <w:rsid w:val="00675778"/>
    <w:rsid w:val="00675883"/>
    <w:rsid w:val="006A31DC"/>
    <w:rsid w:val="008041BC"/>
    <w:rsid w:val="00806477"/>
    <w:rsid w:val="00870D3C"/>
    <w:rsid w:val="008E176A"/>
    <w:rsid w:val="008E7B18"/>
    <w:rsid w:val="00967190"/>
    <w:rsid w:val="0098286E"/>
    <w:rsid w:val="009E3A8D"/>
    <w:rsid w:val="009E48F0"/>
    <w:rsid w:val="009E7F40"/>
    <w:rsid w:val="00A2659A"/>
    <w:rsid w:val="00A378FF"/>
    <w:rsid w:val="00A43371"/>
    <w:rsid w:val="00A9175B"/>
    <w:rsid w:val="00AF7C65"/>
    <w:rsid w:val="00B75570"/>
    <w:rsid w:val="00C10D42"/>
    <w:rsid w:val="00C119C2"/>
    <w:rsid w:val="00C877AB"/>
    <w:rsid w:val="00CC7C27"/>
    <w:rsid w:val="00D12271"/>
    <w:rsid w:val="00D3412C"/>
    <w:rsid w:val="00D9335A"/>
    <w:rsid w:val="00E56EEB"/>
    <w:rsid w:val="00E8668D"/>
    <w:rsid w:val="00EA6A73"/>
    <w:rsid w:val="00EB684B"/>
    <w:rsid w:val="00F35E36"/>
    <w:rsid w:val="00F93BB1"/>
    <w:rsid w:val="00FA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9AC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9335A"/>
  </w:style>
  <w:style w:type="character" w:customStyle="1" w:styleId="FootnoteTextChar">
    <w:name w:val="Footnote Text Char"/>
    <w:basedOn w:val="DefaultParagraphFont"/>
    <w:link w:val="FootnoteText"/>
    <w:uiPriority w:val="99"/>
    <w:rsid w:val="00D9335A"/>
  </w:style>
  <w:style w:type="character" w:styleId="FootnoteReference">
    <w:name w:val="footnote reference"/>
    <w:basedOn w:val="DefaultParagraphFont"/>
    <w:uiPriority w:val="99"/>
    <w:unhideWhenUsed/>
    <w:rsid w:val="00D93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E34E666D-C500-0045-982E-369DF394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420</Words>
  <Characters>2400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josslyn ryan</dc:creator>
  <cp:keywords/>
  <dc:description/>
  <cp:lastModifiedBy>josslyn ryan</cp:lastModifiedBy>
  <cp:revision>2</cp:revision>
  <dcterms:created xsi:type="dcterms:W3CDTF">2018-09-22T03:06:00Z</dcterms:created>
  <dcterms:modified xsi:type="dcterms:W3CDTF">2018-09-24T22:56:00Z</dcterms:modified>
</cp:coreProperties>
</file>